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0E6E" w14:textId="54480EFA" w:rsidR="00035AC9" w:rsidRPr="00E177EB" w:rsidRDefault="00035AC9" w:rsidP="00035AC9">
      <w:pPr>
        <w:spacing w:after="0"/>
        <w:rPr>
          <w:rFonts w:eastAsia="Times New Roman" w:cs="Calibri"/>
          <w:b/>
          <w:u w:val="single"/>
        </w:rPr>
      </w:pPr>
    </w:p>
    <w:p w14:paraId="72798BDE" w14:textId="20F731BB" w:rsidR="00035AC9" w:rsidRPr="00BD6F87" w:rsidRDefault="00035AC9" w:rsidP="00035AC9">
      <w:pPr>
        <w:tabs>
          <w:tab w:val="left" w:pos="2835"/>
        </w:tabs>
        <w:spacing w:after="0"/>
        <w:rPr>
          <w:rFonts w:eastAsia="Times New Roman" w:cs="Calibri"/>
          <w:bCs/>
          <w:sz w:val="24"/>
        </w:rPr>
      </w:pPr>
      <w:r w:rsidRPr="00E177EB">
        <w:rPr>
          <w:rFonts w:eastAsia="Times New Roman" w:cs="Calibri"/>
          <w:b/>
          <w:sz w:val="24"/>
        </w:rPr>
        <w:t xml:space="preserve">Job title:  </w:t>
      </w:r>
      <w:r w:rsidR="004D11F4" w:rsidRPr="00BD6F87">
        <w:rPr>
          <w:rFonts w:eastAsia="Times New Roman" w:cs="Calibri"/>
          <w:bCs/>
          <w:sz w:val="24"/>
        </w:rPr>
        <w:t>Income Officer</w:t>
      </w:r>
      <w:r w:rsidR="00A14205" w:rsidRPr="004D11F4">
        <w:rPr>
          <w:rFonts w:eastAsia="Times New Roman" w:cs="Calibri"/>
          <w:b/>
          <w:sz w:val="24"/>
        </w:rPr>
        <w:tab/>
      </w:r>
      <w:r w:rsidR="005C6A39" w:rsidRPr="004D11F4">
        <w:rPr>
          <w:rFonts w:eastAsia="Times New Roman" w:cs="Calibri"/>
          <w:b/>
          <w:sz w:val="24"/>
        </w:rPr>
        <w:t xml:space="preserve">                                                                  </w:t>
      </w:r>
      <w:r w:rsidR="00635D4E">
        <w:rPr>
          <w:rFonts w:eastAsia="Times New Roman" w:cs="Calibri"/>
          <w:b/>
          <w:sz w:val="24"/>
        </w:rPr>
        <w:t xml:space="preserve">Reports to:  </w:t>
      </w:r>
      <w:r w:rsidR="004D11F4" w:rsidRPr="00BD6F87">
        <w:rPr>
          <w:rFonts w:eastAsia="Times New Roman" w:cs="Calibri"/>
          <w:bCs/>
          <w:sz w:val="24"/>
        </w:rPr>
        <w:t>Income Manager</w:t>
      </w:r>
    </w:p>
    <w:p w14:paraId="286F72FB" w14:textId="32F5EDDD" w:rsidR="008D51FA" w:rsidRPr="006962FF" w:rsidRDefault="00035AC9" w:rsidP="006962FF">
      <w:pPr>
        <w:spacing w:after="0"/>
        <w:rPr>
          <w:rFonts w:eastAsia="Times New Roman" w:cs="Calibri"/>
          <w:sz w:val="24"/>
        </w:rPr>
      </w:pPr>
      <w:r w:rsidRPr="00E177EB">
        <w:rPr>
          <w:rFonts w:eastAsia="Times New Roman" w:cs="Calibri"/>
          <w:b/>
          <w:sz w:val="24"/>
        </w:rPr>
        <w:t>Line Management:</w:t>
      </w:r>
      <w:r w:rsidR="00604FDF">
        <w:rPr>
          <w:rFonts w:eastAsia="Times New Roman" w:cs="Calibri"/>
          <w:b/>
          <w:sz w:val="24"/>
        </w:rPr>
        <w:t xml:space="preserve"> </w:t>
      </w:r>
      <w:r w:rsidR="00604FDF" w:rsidRPr="00AF49AA">
        <w:rPr>
          <w:rFonts w:eastAsia="Times New Roman" w:cs="Calibri"/>
          <w:bCs/>
          <w:sz w:val="24"/>
        </w:rPr>
        <w:t>None</w:t>
      </w:r>
      <w:r w:rsidR="00A14205">
        <w:rPr>
          <w:rFonts w:eastAsia="Times New Roman" w:cs="Calibri"/>
          <w:sz w:val="24"/>
        </w:rPr>
        <w:tab/>
      </w:r>
      <w:r w:rsidR="00A14205">
        <w:rPr>
          <w:rFonts w:eastAsia="Times New Roman" w:cs="Calibri"/>
          <w:sz w:val="24"/>
        </w:rPr>
        <w:tab/>
      </w:r>
      <w:r w:rsidR="005C6A39">
        <w:rPr>
          <w:rFonts w:eastAsia="Times New Roman" w:cs="Calibri"/>
          <w:sz w:val="24"/>
        </w:rPr>
        <w:t xml:space="preserve">                                                    </w:t>
      </w:r>
      <w:r w:rsidR="006F7B6A" w:rsidRPr="007419D9">
        <w:rPr>
          <w:rFonts w:eastAsia="Times New Roman" w:cs="Calibri"/>
          <w:b/>
          <w:sz w:val="24"/>
        </w:rPr>
        <w:t xml:space="preserve">Location: </w:t>
      </w:r>
      <w:r w:rsidR="001468C6" w:rsidRPr="007419D9">
        <w:rPr>
          <w:rFonts w:eastAsia="Times New Roman" w:cs="Calibri"/>
          <w:sz w:val="24"/>
        </w:rPr>
        <w:t xml:space="preserve">London </w:t>
      </w:r>
      <w:r w:rsidR="006F7B6A" w:rsidRPr="007419D9">
        <w:rPr>
          <w:rFonts w:eastAsia="Times New Roman" w:cs="Calibri"/>
          <w:sz w:val="24"/>
        </w:rPr>
        <w:t xml:space="preserve">(Hybrid) </w:t>
      </w:r>
    </w:p>
    <w:p w14:paraId="569ADF26" w14:textId="77777777" w:rsidR="00035AC9" w:rsidRDefault="008D51FA" w:rsidP="00A1420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Job S</w:t>
      </w:r>
      <w:r w:rsidR="00035AC9" w:rsidRPr="008D51FA">
        <w:rPr>
          <w:b/>
          <w:sz w:val="24"/>
        </w:rPr>
        <w:t>ummary</w:t>
      </w:r>
    </w:p>
    <w:p w14:paraId="7CDA1719" w14:textId="790B4484" w:rsidR="004D11F4" w:rsidRPr="00451761" w:rsidRDefault="008D6AC9" w:rsidP="004D11F4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451761">
        <w:rPr>
          <w:rFonts w:asciiTheme="minorHAnsi" w:hAnsiTheme="minorHAnsi" w:cstheme="minorHAnsi"/>
          <w:sz w:val="20"/>
          <w:szCs w:val="20"/>
        </w:rPr>
        <w:t>U</w:t>
      </w:r>
      <w:r w:rsidR="008B449D" w:rsidRPr="00451761">
        <w:rPr>
          <w:rFonts w:asciiTheme="minorHAnsi" w:hAnsiTheme="minorHAnsi" w:cstheme="minorHAnsi"/>
          <w:sz w:val="20"/>
          <w:szCs w:val="20"/>
        </w:rPr>
        <w:t>ndertake the</w:t>
      </w:r>
      <w:r w:rsidR="004D11F4" w:rsidRPr="00451761">
        <w:rPr>
          <w:rFonts w:asciiTheme="minorHAnsi" w:hAnsiTheme="minorHAnsi" w:cstheme="minorHAnsi"/>
          <w:sz w:val="20"/>
          <w:szCs w:val="20"/>
        </w:rPr>
        <w:t xml:space="preserve"> recovery of all rents and other charges due to the </w:t>
      </w:r>
      <w:r w:rsidR="008B449D" w:rsidRPr="00451761">
        <w:rPr>
          <w:rFonts w:asciiTheme="minorHAnsi" w:hAnsiTheme="minorHAnsi" w:cstheme="minorHAnsi"/>
          <w:sz w:val="20"/>
          <w:szCs w:val="20"/>
        </w:rPr>
        <w:t>Haig Housing</w:t>
      </w:r>
      <w:r w:rsidR="00F54081" w:rsidRPr="00451761">
        <w:rPr>
          <w:rFonts w:asciiTheme="minorHAnsi" w:hAnsiTheme="minorHAnsi" w:cstheme="minorHAnsi"/>
          <w:sz w:val="20"/>
          <w:szCs w:val="20"/>
        </w:rPr>
        <w:t>,</w:t>
      </w:r>
      <w:r w:rsidR="004D11F4" w:rsidRPr="00451761">
        <w:rPr>
          <w:rFonts w:asciiTheme="minorHAnsi" w:hAnsiTheme="minorHAnsi" w:cstheme="minorHAnsi"/>
          <w:sz w:val="20"/>
          <w:szCs w:val="20"/>
        </w:rPr>
        <w:t xml:space="preserve"> in accordance with the law, best practice and </w:t>
      </w:r>
      <w:r w:rsidR="008B449D" w:rsidRPr="00451761">
        <w:rPr>
          <w:rFonts w:asciiTheme="minorHAnsi" w:hAnsiTheme="minorHAnsi" w:cstheme="minorHAnsi"/>
          <w:sz w:val="20"/>
          <w:szCs w:val="20"/>
        </w:rPr>
        <w:t>the Trust’s</w:t>
      </w:r>
      <w:r w:rsidR="004D11F4" w:rsidRPr="00451761">
        <w:rPr>
          <w:rFonts w:asciiTheme="minorHAnsi" w:hAnsiTheme="minorHAnsi" w:cstheme="minorHAnsi"/>
          <w:sz w:val="20"/>
          <w:szCs w:val="20"/>
        </w:rPr>
        <w:t xml:space="preserve"> policies and procedures</w:t>
      </w:r>
      <w:r w:rsidR="00F54081" w:rsidRPr="00451761">
        <w:rPr>
          <w:rFonts w:asciiTheme="minorHAnsi" w:hAnsiTheme="minorHAnsi" w:cstheme="minorHAnsi"/>
          <w:sz w:val="20"/>
          <w:szCs w:val="20"/>
        </w:rPr>
        <w:t>, in order to maximise the Trust’s income.</w:t>
      </w:r>
    </w:p>
    <w:p w14:paraId="55B50A07" w14:textId="7C0845FA" w:rsidR="004D11F4" w:rsidRPr="00451761" w:rsidRDefault="008D6AC9" w:rsidP="004D11F4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451761">
        <w:rPr>
          <w:rFonts w:asciiTheme="minorHAnsi" w:hAnsiTheme="minorHAnsi" w:cstheme="minorHAnsi"/>
          <w:sz w:val="20"/>
          <w:szCs w:val="20"/>
        </w:rPr>
        <w:t>I</w:t>
      </w:r>
      <w:r w:rsidR="004D11F4" w:rsidRPr="00451761">
        <w:rPr>
          <w:rFonts w:asciiTheme="minorHAnsi" w:hAnsiTheme="minorHAnsi" w:cstheme="minorHAnsi"/>
          <w:sz w:val="20"/>
          <w:szCs w:val="20"/>
        </w:rPr>
        <w:t>mplement timely and accurate reviews of all rents and other charges and the production of draft service charge schedules.</w:t>
      </w:r>
    </w:p>
    <w:p w14:paraId="549B71F5" w14:textId="6018D024" w:rsidR="005C6A39" w:rsidRPr="00451761" w:rsidRDefault="008D6AC9" w:rsidP="00604FDF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451761">
        <w:rPr>
          <w:rFonts w:asciiTheme="minorHAnsi" w:hAnsiTheme="minorHAnsi" w:cstheme="minorHAnsi"/>
          <w:sz w:val="20"/>
          <w:szCs w:val="20"/>
        </w:rPr>
        <w:t>P</w:t>
      </w:r>
      <w:r w:rsidR="004D11F4" w:rsidRPr="00451761">
        <w:rPr>
          <w:rFonts w:asciiTheme="minorHAnsi" w:hAnsiTheme="minorHAnsi" w:cstheme="minorHAnsi"/>
          <w:sz w:val="20"/>
          <w:szCs w:val="20"/>
        </w:rPr>
        <w:t>rovide timely and supportive advice to tenant</w:t>
      </w:r>
      <w:r w:rsidR="0055264C">
        <w:rPr>
          <w:rFonts w:asciiTheme="minorHAnsi" w:hAnsiTheme="minorHAnsi" w:cstheme="minorHAnsi"/>
          <w:sz w:val="20"/>
          <w:szCs w:val="20"/>
        </w:rPr>
        <w:t>s</w:t>
      </w:r>
      <w:r w:rsidR="004D11F4" w:rsidRPr="00451761">
        <w:rPr>
          <w:rFonts w:asciiTheme="minorHAnsi" w:hAnsiTheme="minorHAnsi" w:cstheme="minorHAnsi"/>
          <w:sz w:val="20"/>
          <w:szCs w:val="20"/>
        </w:rPr>
        <w:t xml:space="preserve"> having difficulty paying their rent with the aim of enabling such tenants</w:t>
      </w:r>
      <w:r w:rsidR="0055264C">
        <w:rPr>
          <w:rFonts w:asciiTheme="minorHAnsi" w:hAnsiTheme="minorHAnsi" w:cstheme="minorHAnsi"/>
          <w:sz w:val="20"/>
          <w:szCs w:val="20"/>
        </w:rPr>
        <w:t xml:space="preserve"> to </w:t>
      </w:r>
      <w:r w:rsidR="006962FF">
        <w:rPr>
          <w:rFonts w:asciiTheme="minorHAnsi" w:hAnsiTheme="minorHAnsi" w:cstheme="minorHAnsi"/>
          <w:sz w:val="20"/>
          <w:szCs w:val="20"/>
        </w:rPr>
        <w:t xml:space="preserve">sustain </w:t>
      </w:r>
      <w:r w:rsidR="006962FF" w:rsidRPr="00451761">
        <w:rPr>
          <w:rFonts w:asciiTheme="minorHAnsi" w:hAnsiTheme="minorHAnsi" w:cstheme="minorHAnsi"/>
          <w:sz w:val="20"/>
          <w:szCs w:val="20"/>
        </w:rPr>
        <w:t>their</w:t>
      </w:r>
      <w:r w:rsidR="004D11F4" w:rsidRPr="00451761">
        <w:rPr>
          <w:rFonts w:asciiTheme="minorHAnsi" w:hAnsiTheme="minorHAnsi" w:cstheme="minorHAnsi"/>
          <w:sz w:val="20"/>
          <w:szCs w:val="20"/>
        </w:rPr>
        <w:t xml:space="preserve"> tenancy</w:t>
      </w:r>
      <w:r w:rsidR="0055264C">
        <w:rPr>
          <w:rFonts w:asciiTheme="minorHAnsi" w:hAnsiTheme="minorHAnsi" w:cstheme="minorHAnsi"/>
          <w:sz w:val="20"/>
          <w:szCs w:val="20"/>
        </w:rPr>
        <w:t>, this includes making reasonable and informed repayment agreements where arrears exist.</w:t>
      </w:r>
    </w:p>
    <w:p w14:paraId="548627D0" w14:textId="36A10E72" w:rsidR="008D6AC9" w:rsidRDefault="008D6AC9" w:rsidP="00604FDF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451761">
        <w:rPr>
          <w:rFonts w:asciiTheme="minorHAnsi" w:hAnsiTheme="minorHAnsi" w:cstheme="minorHAnsi"/>
          <w:sz w:val="20"/>
          <w:szCs w:val="20"/>
        </w:rPr>
        <w:t>Process</w:t>
      </w:r>
      <w:r w:rsidR="00604FDF" w:rsidRPr="00451761">
        <w:rPr>
          <w:rFonts w:asciiTheme="minorHAnsi" w:hAnsiTheme="minorHAnsi" w:cstheme="minorHAnsi"/>
          <w:sz w:val="20"/>
          <w:szCs w:val="20"/>
        </w:rPr>
        <w:t xml:space="preserve"> and manage deposits,</w:t>
      </w:r>
      <w:r w:rsidRPr="00451761">
        <w:rPr>
          <w:rFonts w:asciiTheme="minorHAnsi" w:hAnsiTheme="minorHAnsi" w:cstheme="minorHAnsi"/>
          <w:sz w:val="20"/>
          <w:szCs w:val="20"/>
        </w:rPr>
        <w:t xml:space="preserve"> rent adjustments</w:t>
      </w:r>
      <w:r w:rsidR="00604FDF" w:rsidRPr="00451761">
        <w:rPr>
          <w:rFonts w:asciiTheme="minorHAnsi" w:hAnsiTheme="minorHAnsi" w:cstheme="minorHAnsi"/>
          <w:sz w:val="20"/>
          <w:szCs w:val="20"/>
        </w:rPr>
        <w:t xml:space="preserve"> and increases, </w:t>
      </w:r>
      <w:r w:rsidRPr="00451761">
        <w:rPr>
          <w:rFonts w:asciiTheme="minorHAnsi" w:hAnsiTheme="minorHAnsi" w:cstheme="minorHAnsi"/>
          <w:sz w:val="20"/>
          <w:szCs w:val="20"/>
        </w:rPr>
        <w:t>refunds and</w:t>
      </w:r>
      <w:r w:rsidR="005E0681">
        <w:rPr>
          <w:rFonts w:asciiTheme="minorHAnsi" w:hAnsiTheme="minorHAnsi" w:cstheme="minorHAnsi"/>
          <w:sz w:val="20"/>
          <w:szCs w:val="20"/>
        </w:rPr>
        <w:t xml:space="preserve"> d</w:t>
      </w:r>
      <w:r w:rsidR="005E0681" w:rsidRPr="005E0681">
        <w:rPr>
          <w:rFonts w:asciiTheme="minorHAnsi" w:hAnsiTheme="minorHAnsi" w:cstheme="minorHAnsi"/>
          <w:sz w:val="20"/>
          <w:szCs w:val="20"/>
        </w:rPr>
        <w:t>ecoration</w:t>
      </w:r>
      <w:r w:rsidRPr="00451761">
        <w:rPr>
          <w:rFonts w:asciiTheme="minorHAnsi" w:hAnsiTheme="minorHAnsi" w:cstheme="minorHAnsi"/>
          <w:sz w:val="20"/>
          <w:szCs w:val="20"/>
        </w:rPr>
        <w:t xml:space="preserve"> allowances</w:t>
      </w:r>
      <w:r w:rsidR="00604FDF" w:rsidRPr="00451761">
        <w:rPr>
          <w:rFonts w:asciiTheme="minorHAnsi" w:hAnsiTheme="minorHAnsi" w:cstheme="minorHAnsi"/>
          <w:sz w:val="20"/>
          <w:szCs w:val="20"/>
        </w:rPr>
        <w:t>.</w:t>
      </w:r>
    </w:p>
    <w:p w14:paraId="44D53EB2" w14:textId="77777777" w:rsidR="00180641" w:rsidRDefault="00180641" w:rsidP="00604FDF">
      <w:pPr>
        <w:spacing w:before="60" w:after="6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</w:t>
      </w:r>
      <w:r w:rsidR="003E4A2C" w:rsidRPr="00113A57">
        <w:rPr>
          <w:rFonts w:eastAsia="Times New Roman" w:cs="Calibri"/>
          <w:sz w:val="20"/>
          <w:szCs w:val="20"/>
        </w:rPr>
        <w:t>anage all current and former tenants’ rent accounts in accordance with the Trust’s procedures</w:t>
      </w:r>
      <w:r>
        <w:rPr>
          <w:rFonts w:eastAsia="Times New Roman" w:cs="Calibri"/>
          <w:sz w:val="20"/>
          <w:szCs w:val="20"/>
        </w:rPr>
        <w:t>.</w:t>
      </w:r>
      <w:r w:rsidR="003E4A2C" w:rsidRPr="00113A57">
        <w:rPr>
          <w:rFonts w:eastAsia="Times New Roman" w:cs="Calibri"/>
          <w:sz w:val="20"/>
          <w:szCs w:val="20"/>
        </w:rPr>
        <w:t xml:space="preserve"> </w:t>
      </w:r>
    </w:p>
    <w:p w14:paraId="3A644D76" w14:textId="77777777" w:rsidR="00180641" w:rsidRDefault="00180641" w:rsidP="00604FDF">
      <w:pPr>
        <w:spacing w:before="60" w:after="6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Initiate legal action in relation to rent arrears in accordance with the Trusts procedures ensuring appropriate authorisation has been received in each case.</w:t>
      </w:r>
    </w:p>
    <w:p w14:paraId="5BB3F6CA" w14:textId="1B4F6167" w:rsidR="003E4A2C" w:rsidRDefault="00180641" w:rsidP="00604FDF">
      <w:pPr>
        <w:spacing w:before="60" w:after="6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 with the Housing managers in preparing court documents and court attendance on occasions.</w:t>
      </w:r>
    </w:p>
    <w:p w14:paraId="389210F9" w14:textId="5F3CC644" w:rsidR="00282B9A" w:rsidRPr="00451761" w:rsidRDefault="0055264C" w:rsidP="00604FDF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Monitor and manage dept recovery from former tenants in accordance with the law and HHT procedures</w:t>
      </w:r>
    </w:p>
    <w:p w14:paraId="752EECB3" w14:textId="77777777" w:rsidR="00BD6F87" w:rsidRDefault="00BD6F87" w:rsidP="00BD6F87">
      <w:pPr>
        <w:pStyle w:val="NoSpacing"/>
        <w:jc w:val="center"/>
        <w:rPr>
          <w:rFonts w:eastAsia="Times New Roman" w:cs="Calibri"/>
          <w:b/>
          <w:sz w:val="24"/>
        </w:rPr>
      </w:pPr>
    </w:p>
    <w:p w14:paraId="518AD3E2" w14:textId="243B7C5A" w:rsidR="008D51FA" w:rsidRDefault="00035AC9" w:rsidP="00BD6F87">
      <w:pPr>
        <w:pStyle w:val="NoSpacing"/>
        <w:jc w:val="center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>Person Specification</w:t>
      </w:r>
    </w:p>
    <w:p w14:paraId="191E3CC6" w14:textId="77777777" w:rsidR="00BD6F87" w:rsidRPr="00E177EB" w:rsidRDefault="00BD6F87" w:rsidP="00BD6F87">
      <w:pPr>
        <w:pStyle w:val="NoSpacing"/>
        <w:jc w:val="center"/>
        <w:rPr>
          <w:rFonts w:eastAsia="Times New Roman" w:cs="Calibri"/>
          <w:b/>
          <w:sz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134"/>
        <w:gridCol w:w="1134"/>
      </w:tblGrid>
      <w:tr w:rsidR="00035AC9" w:rsidRPr="00F64E16" w14:paraId="18018EE6" w14:textId="77777777" w:rsidTr="00BD6F87">
        <w:trPr>
          <w:trHeight w:val="285"/>
          <w:jc w:val="center"/>
        </w:trPr>
        <w:tc>
          <w:tcPr>
            <w:tcW w:w="7939" w:type="dxa"/>
          </w:tcPr>
          <w:p w14:paraId="55EF593F" w14:textId="77777777" w:rsidR="00035AC9" w:rsidRPr="00E177EB" w:rsidRDefault="00035AC9" w:rsidP="00384F6A">
            <w:pPr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5A3F9F0D" w14:textId="77777777" w:rsidR="00035AC9" w:rsidRPr="00BD6F87" w:rsidRDefault="00035AC9" w:rsidP="00384F6A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BD6F87">
              <w:rPr>
                <w:rFonts w:eastAsia="Times New Roman" w:cs="Calibri"/>
                <w:b/>
                <w:sz w:val="20"/>
                <w:szCs w:val="20"/>
              </w:rPr>
              <w:t>ESSENTIAL</w:t>
            </w:r>
          </w:p>
        </w:tc>
        <w:tc>
          <w:tcPr>
            <w:tcW w:w="1134" w:type="dxa"/>
            <w:vAlign w:val="center"/>
          </w:tcPr>
          <w:p w14:paraId="55C59568" w14:textId="77777777" w:rsidR="00035AC9" w:rsidRPr="00BD6F87" w:rsidRDefault="00035AC9" w:rsidP="00384F6A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BD6F87">
              <w:rPr>
                <w:rFonts w:eastAsia="Times New Roman" w:cs="Calibri"/>
                <w:b/>
                <w:sz w:val="20"/>
                <w:szCs w:val="20"/>
              </w:rPr>
              <w:t>DESIRABLE</w:t>
            </w:r>
          </w:p>
        </w:tc>
      </w:tr>
      <w:tr w:rsidR="00035AC9" w:rsidRPr="00F64E16" w14:paraId="0DB80019" w14:textId="77777777" w:rsidTr="00BD6F87">
        <w:trPr>
          <w:jc w:val="center"/>
        </w:trPr>
        <w:tc>
          <w:tcPr>
            <w:tcW w:w="7939" w:type="dxa"/>
            <w:shd w:val="clear" w:color="auto" w:fill="C6D9F1"/>
          </w:tcPr>
          <w:p w14:paraId="0ED3D869" w14:textId="72597860" w:rsidR="00035AC9" w:rsidRPr="00E177EB" w:rsidRDefault="00035AC9" w:rsidP="00384F6A">
            <w:pPr>
              <w:rPr>
                <w:rFonts w:eastAsia="Times New Roman" w:cs="Calibri"/>
                <w:b/>
              </w:rPr>
            </w:pPr>
            <w:r w:rsidRPr="008D51FA">
              <w:rPr>
                <w:rFonts w:eastAsia="Times New Roman" w:cs="Calibri"/>
                <w:b/>
                <w:sz w:val="20"/>
              </w:rPr>
              <w:t>Qualifications</w:t>
            </w:r>
            <w:r w:rsidR="00A14205">
              <w:rPr>
                <w:rFonts w:eastAsia="Times New Roman" w:cs="Calibri"/>
                <w:b/>
                <w:sz w:val="20"/>
              </w:rPr>
              <w:t>,</w:t>
            </w:r>
            <w:r w:rsidR="00A14205" w:rsidRPr="00BF47B6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r w:rsidR="00B92CF1">
              <w:rPr>
                <w:rFonts w:eastAsia="Times New Roman" w:cs="Calibri"/>
                <w:b/>
                <w:sz w:val="20"/>
                <w:szCs w:val="20"/>
              </w:rPr>
              <w:t xml:space="preserve">Skills </w:t>
            </w:r>
            <w:r w:rsidR="00A14205" w:rsidRPr="00BF47B6">
              <w:rPr>
                <w:rFonts w:eastAsia="Times New Roman" w:cs="Calibri"/>
                <w:b/>
                <w:sz w:val="20"/>
                <w:szCs w:val="20"/>
              </w:rPr>
              <w:t>&amp; Experience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021F93A" w14:textId="77777777"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6263120A" w14:textId="77777777"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</w:tr>
      <w:tr w:rsidR="00035AC9" w:rsidRPr="00BF47B6" w14:paraId="379C1297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66E87939" w14:textId="5DFAB942" w:rsidR="00035AC9" w:rsidRPr="008D51FA" w:rsidRDefault="004D11F4" w:rsidP="004D11F4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Comprehensive </w:t>
            </w:r>
            <w:r w:rsidR="00451761">
              <w:rPr>
                <w:rFonts w:eastAsia="Times New Roman" w:cs="Calibri"/>
                <w:sz w:val="20"/>
                <w:szCs w:val="20"/>
              </w:rPr>
              <w:t xml:space="preserve">knowledge of </w:t>
            </w:r>
            <w:r>
              <w:rPr>
                <w:rFonts w:eastAsia="Times New Roman" w:cs="Calibri"/>
                <w:sz w:val="20"/>
                <w:szCs w:val="20"/>
              </w:rPr>
              <w:t>recovering rents and other charge</w:t>
            </w:r>
            <w:r w:rsidR="00604FDF">
              <w:rPr>
                <w:rFonts w:eastAsia="Times New Roman" w:cs="Calibri"/>
                <w:sz w:val="20"/>
                <w:szCs w:val="20"/>
              </w:rPr>
              <w:t>s</w:t>
            </w:r>
            <w:r w:rsidR="00451761">
              <w:rPr>
                <w:rFonts w:eastAsia="Times New Roman" w:cs="Calibri"/>
                <w:sz w:val="20"/>
                <w:szCs w:val="20"/>
              </w:rPr>
              <w:t>,</w:t>
            </w:r>
            <w:r w:rsidR="00B92CF1">
              <w:rPr>
                <w:rFonts w:eastAsia="Times New Roman" w:cs="Calibri"/>
                <w:sz w:val="20"/>
                <w:szCs w:val="20"/>
              </w:rPr>
              <w:t xml:space="preserve"> and processing payments</w:t>
            </w:r>
            <w:r w:rsidR="008C0E74">
              <w:rPr>
                <w:rFonts w:eastAsia="Times New Roman" w:cs="Calibri"/>
                <w:sz w:val="20"/>
                <w:szCs w:val="20"/>
              </w:rPr>
              <w:t xml:space="preserve"> securely</w:t>
            </w:r>
            <w:r w:rsidR="00951BF8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F7F7E1C" w14:textId="7A68A358" w:rsidR="00035AC9" w:rsidRPr="00BF47B6" w:rsidRDefault="0055264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915E26B" w14:textId="5D1E4BDD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54081" w:rsidRPr="00BF47B6" w14:paraId="01FB8513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01485BC0" w14:textId="22D4DCF4" w:rsidR="00F54081" w:rsidRDefault="00F54081" w:rsidP="004D11F4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Skilled at undertaking the processing of rent and charges reviews.</w:t>
            </w:r>
          </w:p>
        </w:tc>
        <w:tc>
          <w:tcPr>
            <w:tcW w:w="1134" w:type="dxa"/>
            <w:vAlign w:val="center"/>
          </w:tcPr>
          <w:p w14:paraId="4FF4951D" w14:textId="5B2D4B3D" w:rsidR="00F54081" w:rsidRDefault="0055264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509547F" w14:textId="77777777" w:rsidR="00F54081" w:rsidRPr="00BF47B6" w:rsidRDefault="00F54081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C6FA2" w:rsidRPr="00BF47B6" w14:paraId="2E27FCB9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232FE719" w14:textId="10A213AA" w:rsidR="001C6FA2" w:rsidRPr="00B936AE" w:rsidRDefault="008B449D" w:rsidP="008B449D">
            <w:pPr>
              <w:spacing w:before="60" w:after="60"/>
              <w:rPr>
                <w:rFonts w:eastAsia="Times New Roman" w:cs="Calibri"/>
                <w:sz w:val="20"/>
                <w:szCs w:val="20"/>
                <w:highlight w:val="yellow"/>
              </w:rPr>
            </w:pPr>
            <w:r w:rsidRPr="008B449D">
              <w:rPr>
                <w:rFonts w:eastAsia="Times New Roman" w:cs="Calibri"/>
                <w:sz w:val="20"/>
                <w:szCs w:val="20"/>
              </w:rPr>
              <w:t>Experience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59180F">
              <w:rPr>
                <w:rFonts w:eastAsia="Times New Roman" w:cs="Calibri"/>
                <w:sz w:val="20"/>
                <w:szCs w:val="20"/>
              </w:rPr>
              <w:t>submitting and managing rent registrations</w:t>
            </w:r>
            <w:r w:rsidR="007143E1">
              <w:rPr>
                <w:rFonts w:eastAsia="Times New Roman" w:cs="Calibri"/>
                <w:sz w:val="20"/>
                <w:szCs w:val="20"/>
              </w:rPr>
              <w:t xml:space="preserve"> a</w:t>
            </w:r>
            <w:r w:rsidR="007143E1" w:rsidRPr="00756062">
              <w:rPr>
                <w:rFonts w:eastAsia="Times New Roman" w:cs="Calibri"/>
                <w:sz w:val="20"/>
                <w:szCs w:val="20"/>
              </w:rPr>
              <w:t>nd de</w:t>
            </w:r>
            <w:r w:rsidR="007143E1">
              <w:rPr>
                <w:rFonts w:eastAsia="Times New Roman" w:cs="Calibri"/>
                <w:sz w:val="20"/>
                <w:szCs w:val="20"/>
              </w:rPr>
              <w:t>-registrations</w:t>
            </w:r>
            <w:r w:rsidR="00C45736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FC17276" w14:textId="64C0D397" w:rsidR="001C6FA2" w:rsidRDefault="001C6FA2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51048A" w14:textId="73AC51C0" w:rsidR="001C6FA2" w:rsidRPr="00BF47B6" w:rsidRDefault="0055264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035AC9" w:rsidRPr="00BF47B6" w14:paraId="5A9360E6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7981FE06" w14:textId="3ACD7498" w:rsidR="00035AC9" w:rsidRPr="008D51FA" w:rsidRDefault="00B31832" w:rsidP="00624990">
            <w:pPr>
              <w:tabs>
                <w:tab w:val="left" w:pos="2160"/>
              </w:tabs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Ability to follow policy to recover former tenants’ debt and r</w:t>
            </w:r>
            <w:r w:rsidR="0059180F">
              <w:rPr>
                <w:rFonts w:eastAsia="Times New Roman" w:cs="Calibri"/>
                <w:sz w:val="20"/>
                <w:szCs w:val="20"/>
              </w:rPr>
              <w:t>e</w:t>
            </w:r>
            <w:r>
              <w:rPr>
                <w:rFonts w:eastAsia="Times New Roman" w:cs="Calibri"/>
                <w:sz w:val="20"/>
                <w:szCs w:val="20"/>
              </w:rPr>
              <w:t>cover arrears</w:t>
            </w:r>
            <w:r w:rsidR="00245CAA">
              <w:rPr>
                <w:rFonts w:eastAsia="Times New Roman" w:cs="Calibri"/>
                <w:sz w:val="20"/>
                <w:szCs w:val="20"/>
              </w:rPr>
              <w:t xml:space="preserve"> and understand options available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  <w:r w:rsidR="0059180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59180F" w:rsidRPr="00B92CF1">
              <w:rPr>
                <w:rFonts w:eastAsia="Times New Roman" w:cs="Calibri"/>
                <w:sz w:val="20"/>
                <w:szCs w:val="20"/>
              </w:rPr>
              <w:t xml:space="preserve">Tracing former tenants </w:t>
            </w:r>
            <w:r w:rsidR="002208D0">
              <w:rPr>
                <w:rFonts w:eastAsia="Times New Roman" w:cs="Calibri"/>
                <w:sz w:val="20"/>
                <w:szCs w:val="20"/>
              </w:rPr>
              <w:t>as necessary</w:t>
            </w:r>
            <w:r w:rsidR="0059180F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AFB1DD9" w14:textId="548239D2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4D670" w14:textId="34C936D9" w:rsidR="00035AC9" w:rsidRPr="00BF47B6" w:rsidRDefault="0055264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CC79B0" w:rsidRPr="00BF47B6" w14:paraId="19DA2974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3ECEF724" w14:textId="13DE08D6" w:rsidR="00CC79B0" w:rsidRPr="008D51FA" w:rsidDel="00AC185A" w:rsidRDefault="004D11F4" w:rsidP="004D11F4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Experience liaising </w:t>
            </w:r>
            <w:r w:rsidRPr="004D11F4">
              <w:rPr>
                <w:rFonts w:eastAsia="Times New Roman" w:cs="Calibri"/>
                <w:sz w:val="20"/>
                <w:szCs w:val="20"/>
              </w:rPr>
              <w:t xml:space="preserve">with Solicitors and Debt recovery Agents in more complex cases to recover possession and outstanding debts. </w:t>
            </w:r>
          </w:p>
        </w:tc>
        <w:tc>
          <w:tcPr>
            <w:tcW w:w="1134" w:type="dxa"/>
            <w:vAlign w:val="center"/>
          </w:tcPr>
          <w:p w14:paraId="24EBFC9E" w14:textId="22F111B2" w:rsidR="00CC79B0" w:rsidRPr="00BF47B6" w:rsidRDefault="00CC79B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46F964" w14:textId="264A05AA" w:rsidR="00CC79B0" w:rsidRPr="00BF47B6" w:rsidRDefault="0055264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035AC9" w:rsidRPr="00BF47B6" w14:paraId="6BEF65C1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6174FC7D" w14:textId="7D74AF33" w:rsidR="00035AC9" w:rsidRPr="008D51FA" w:rsidRDefault="008B449D" w:rsidP="00B92CF1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Competent at </w:t>
            </w:r>
            <w:r w:rsidR="00B92CF1">
              <w:rPr>
                <w:rFonts w:eastAsia="Times New Roman" w:cs="Calibri"/>
                <w:sz w:val="20"/>
                <w:szCs w:val="20"/>
              </w:rPr>
              <w:t xml:space="preserve">placing </w:t>
            </w:r>
            <w:r w:rsidR="00B92CF1" w:rsidRPr="00B92CF1">
              <w:rPr>
                <w:rFonts w:eastAsia="Times New Roman" w:cs="Calibri"/>
                <w:sz w:val="20"/>
                <w:szCs w:val="20"/>
              </w:rPr>
              <w:t xml:space="preserve">applications on </w:t>
            </w:r>
            <w:r w:rsidR="00B92CF1">
              <w:rPr>
                <w:rFonts w:eastAsia="Times New Roman" w:cs="Calibri"/>
                <w:sz w:val="20"/>
                <w:szCs w:val="20"/>
              </w:rPr>
              <w:t xml:space="preserve">Possession Cases On Line (PCOL) </w:t>
            </w:r>
            <w:r w:rsidR="00B92CF1" w:rsidRPr="00B92CF1">
              <w:rPr>
                <w:rFonts w:eastAsia="Times New Roman" w:cs="Calibri"/>
                <w:sz w:val="20"/>
                <w:szCs w:val="20"/>
              </w:rPr>
              <w:t xml:space="preserve">and </w:t>
            </w:r>
            <w:r w:rsidR="00B92CF1">
              <w:rPr>
                <w:rFonts w:eastAsia="Times New Roman" w:cs="Calibri"/>
                <w:sz w:val="20"/>
                <w:szCs w:val="20"/>
              </w:rPr>
              <w:t xml:space="preserve">Money Cases On Line (MCOL) </w:t>
            </w:r>
            <w:r w:rsidR="00B92CF1" w:rsidRPr="00B92CF1">
              <w:rPr>
                <w:rFonts w:eastAsia="Times New Roman" w:cs="Calibri"/>
                <w:sz w:val="20"/>
                <w:szCs w:val="20"/>
              </w:rPr>
              <w:t>systems</w:t>
            </w:r>
            <w:r w:rsidR="00B92CF1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0072DD6" w14:textId="00C814A4" w:rsidR="00035AC9" w:rsidRPr="00BF47B6" w:rsidRDefault="0055264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E765033" w14:textId="045B9904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B1BFC" w:rsidRPr="00BF47B6" w14:paraId="5C568FB3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590B2207" w14:textId="1C2B4887" w:rsidR="004B1BFC" w:rsidRDefault="00604FDF" w:rsidP="0035004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Effective at serving notice in conjunction with the Trust’s procedures, and r</w:t>
            </w:r>
            <w:r w:rsidRPr="00604FDF">
              <w:rPr>
                <w:rFonts w:eastAsia="Times New Roman" w:cs="Calibri"/>
                <w:sz w:val="20"/>
                <w:szCs w:val="20"/>
              </w:rPr>
              <w:t xml:space="preserve">eport </w:t>
            </w:r>
            <w:r w:rsidR="00B92CF1" w:rsidRPr="00604FDF">
              <w:rPr>
                <w:rFonts w:eastAsia="Times New Roman" w:cs="Calibri"/>
                <w:sz w:val="20"/>
                <w:szCs w:val="20"/>
              </w:rPr>
              <w:t>writing for</w:t>
            </w:r>
            <w:r w:rsidRPr="00604FDF">
              <w:rPr>
                <w:rFonts w:eastAsia="Times New Roman" w:cs="Calibri"/>
                <w:sz w:val="20"/>
                <w:szCs w:val="20"/>
              </w:rPr>
              <w:t xml:space="preserve"> evictions and write offs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B254E2C" w14:textId="16CC8ECE" w:rsidR="004B1BFC" w:rsidRDefault="0055264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134A97B" w14:textId="77777777" w:rsidR="004B1BFC" w:rsidRPr="00BF47B6" w:rsidRDefault="004B1BFC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004A" w:rsidRPr="00BF47B6" w14:paraId="33EA6B31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5F3FEB89" w14:textId="70A0D777" w:rsidR="0035004A" w:rsidRDefault="00B92CF1" w:rsidP="00B936AE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Experience in s</w:t>
            </w:r>
            <w:r w:rsidR="00F54081">
              <w:rPr>
                <w:rFonts w:eastAsia="Times New Roman" w:cs="Calibri"/>
                <w:sz w:val="20"/>
                <w:szCs w:val="20"/>
              </w:rPr>
              <w:t>ign posting tenants who may be struggling to pay rent by referring them to other support</w:t>
            </w:r>
            <w:r w:rsidR="007B342C">
              <w:rPr>
                <w:rFonts w:eastAsia="Times New Roman" w:cs="Calibri"/>
                <w:sz w:val="20"/>
                <w:szCs w:val="20"/>
              </w:rPr>
              <w:t>/charity</w:t>
            </w:r>
            <w:r w:rsidR="00F54081">
              <w:rPr>
                <w:rFonts w:eastAsia="Times New Roman" w:cs="Calibri"/>
                <w:sz w:val="20"/>
                <w:szCs w:val="20"/>
              </w:rPr>
              <w:t xml:space="preserve"> organisations and discussing welfare benefits which they may be entitled to.</w:t>
            </w:r>
          </w:p>
        </w:tc>
        <w:tc>
          <w:tcPr>
            <w:tcW w:w="1134" w:type="dxa"/>
            <w:vAlign w:val="center"/>
          </w:tcPr>
          <w:p w14:paraId="323BC794" w14:textId="318F6A97" w:rsidR="0035004A" w:rsidRDefault="0035004A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44651" w14:textId="408F234B" w:rsidR="0035004A" w:rsidRPr="00BF47B6" w:rsidRDefault="0055264C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2F27F9" w:rsidRPr="00BF47B6" w14:paraId="3BD2171E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101222BE" w14:textId="34B1B242" w:rsidR="002F27F9" w:rsidRPr="008D51FA" w:rsidRDefault="00B92CF1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Ability to </w:t>
            </w:r>
            <w:r w:rsidRPr="00604FDF">
              <w:rPr>
                <w:rFonts w:eastAsia="Times New Roman" w:cs="Calibri"/>
                <w:sz w:val="20"/>
                <w:szCs w:val="20"/>
              </w:rPr>
              <w:t xml:space="preserve">produce </w:t>
            </w:r>
            <w:r w:rsidR="0059180F">
              <w:rPr>
                <w:rFonts w:eastAsia="Times New Roman" w:cs="Calibri"/>
                <w:sz w:val="20"/>
                <w:szCs w:val="20"/>
              </w:rPr>
              <w:t>rent statements</w:t>
            </w:r>
            <w:r w:rsidR="00451761">
              <w:rPr>
                <w:rFonts w:eastAsia="Times New Roman" w:cs="Calibri"/>
                <w:sz w:val="20"/>
                <w:szCs w:val="20"/>
              </w:rPr>
              <w:t>,</w:t>
            </w:r>
            <w:r w:rsidR="0059180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951BF8">
              <w:rPr>
                <w:rFonts w:eastAsia="Times New Roman" w:cs="Calibri"/>
                <w:sz w:val="20"/>
                <w:szCs w:val="20"/>
              </w:rPr>
              <w:t>annual schedules, and</w:t>
            </w:r>
            <w:r w:rsidR="0059180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604FDF">
              <w:rPr>
                <w:rFonts w:eastAsia="Times New Roman" w:cs="Calibri"/>
                <w:sz w:val="20"/>
                <w:szCs w:val="20"/>
              </w:rPr>
              <w:t>accurate and timely reports for Managers and Trustees and other organisations as required.</w:t>
            </w:r>
          </w:p>
        </w:tc>
        <w:tc>
          <w:tcPr>
            <w:tcW w:w="1134" w:type="dxa"/>
            <w:vAlign w:val="center"/>
          </w:tcPr>
          <w:p w14:paraId="22CB7BB6" w14:textId="4E49CAE6" w:rsidR="002F27F9" w:rsidRPr="00BF47B6" w:rsidRDefault="0055264C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355C0CB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5004A" w:rsidRPr="00BF47B6" w14:paraId="36849ED6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679D0FA7" w14:textId="3C49C97B" w:rsidR="0035004A" w:rsidRPr="002F27F9" w:rsidRDefault="005766B5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Experience in completing</w:t>
            </w:r>
            <w:r w:rsidR="00B92CF1" w:rsidRPr="00B92CF1">
              <w:rPr>
                <w:rFonts w:eastAsia="Times New Roman" w:cs="Calibri"/>
                <w:sz w:val="20"/>
                <w:szCs w:val="20"/>
              </w:rPr>
              <w:t xml:space="preserve"> reference requests and dealing with managing agents and market lets</w:t>
            </w:r>
            <w:r w:rsidR="00B92CF1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F6E6FAF" w14:textId="7FF9C932" w:rsidR="0035004A" w:rsidRDefault="0055264C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ABF4346" w14:textId="40E31349" w:rsidR="0035004A" w:rsidRPr="00BF47B6" w:rsidRDefault="0035004A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F82F4F" w:rsidRPr="00BF47B6" w14:paraId="5C33608A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3FC34D01" w14:textId="3650934C" w:rsidR="00F82F4F" w:rsidRPr="001C6FA2" w:rsidRDefault="005766B5" w:rsidP="002F27F9">
            <w:pPr>
              <w:contextualSpacing/>
              <w:rPr>
                <w:rFonts w:eastAsia="Times New Roman" w:cs="Calibri"/>
                <w:sz w:val="20"/>
                <w:szCs w:val="20"/>
                <w:highlight w:val="yellow"/>
              </w:rPr>
            </w:pPr>
            <w:r>
              <w:rPr>
                <w:rFonts w:eastAsia="Times New Roman" w:cs="Calibri"/>
                <w:sz w:val="20"/>
                <w:szCs w:val="20"/>
              </w:rPr>
              <w:t>Skilled at</w:t>
            </w:r>
            <w:r w:rsidR="00451761">
              <w:rPr>
                <w:rFonts w:eastAsia="Times New Roman" w:cs="Calibri"/>
                <w:sz w:val="20"/>
                <w:szCs w:val="20"/>
              </w:rPr>
              <w:t xml:space="preserve"> engaging </w:t>
            </w:r>
            <w:r w:rsidR="00451761" w:rsidRPr="00451761">
              <w:rPr>
                <w:rFonts w:eastAsia="Times New Roman" w:cs="Calibri"/>
                <w:sz w:val="20"/>
                <w:szCs w:val="20"/>
              </w:rPr>
              <w:t xml:space="preserve">with </w:t>
            </w:r>
            <w:r w:rsidR="00451761">
              <w:rPr>
                <w:rFonts w:eastAsia="Times New Roman" w:cs="Calibri"/>
                <w:sz w:val="20"/>
                <w:szCs w:val="20"/>
              </w:rPr>
              <w:t>Local Authority and U</w:t>
            </w:r>
            <w:r w:rsidR="007B342C">
              <w:rPr>
                <w:rFonts w:eastAsia="Times New Roman" w:cs="Calibri"/>
                <w:sz w:val="20"/>
                <w:szCs w:val="20"/>
              </w:rPr>
              <w:t>niversal Credit</w:t>
            </w:r>
            <w:r w:rsidR="00451761">
              <w:rPr>
                <w:rFonts w:eastAsia="Times New Roman" w:cs="Calibri"/>
                <w:sz w:val="20"/>
                <w:szCs w:val="20"/>
              </w:rPr>
              <w:t xml:space="preserve"> in relation to tenants’ claims for Local Housing Allowance and managing accordingly.</w:t>
            </w:r>
          </w:p>
        </w:tc>
        <w:tc>
          <w:tcPr>
            <w:tcW w:w="1134" w:type="dxa"/>
            <w:vAlign w:val="center"/>
          </w:tcPr>
          <w:p w14:paraId="426DF275" w14:textId="10820D3D" w:rsidR="00F82F4F" w:rsidRDefault="00F82F4F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FB5D35" w14:textId="2CA875BB" w:rsidR="00F82F4F" w:rsidRPr="00BF47B6" w:rsidRDefault="0055264C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2F27F9" w:rsidRPr="00BF47B6" w14:paraId="02DC42F6" w14:textId="77777777" w:rsidTr="00BD6F87">
        <w:trPr>
          <w:jc w:val="center"/>
        </w:trPr>
        <w:tc>
          <w:tcPr>
            <w:tcW w:w="7939" w:type="dxa"/>
            <w:shd w:val="clear" w:color="auto" w:fill="C6D9F1" w:themeFill="text2" w:themeFillTint="33"/>
          </w:tcPr>
          <w:p w14:paraId="262E8EF8" w14:textId="77777777" w:rsidR="002F27F9" w:rsidRPr="00BF47B6" w:rsidRDefault="002F27F9" w:rsidP="002F27F9">
            <w:pPr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b/>
                <w:sz w:val="20"/>
                <w:szCs w:val="20"/>
              </w:rPr>
              <w:t>Personal Qualities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32F900A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2B5C891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51BF8" w:rsidRPr="00BF47B6" w14:paraId="2E7C2D7E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25D60235" w14:textId="07E8FF0B" w:rsidR="00951BF8" w:rsidRDefault="00951BF8" w:rsidP="00951BF8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951BF8">
              <w:rPr>
                <w:rFonts w:eastAsia="Times New Roman" w:cs="Calibri"/>
                <w:sz w:val="20"/>
                <w:szCs w:val="20"/>
              </w:rPr>
              <w:t>A successful track record of income recovery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E1F76DC" w14:textId="55B9566E" w:rsidR="00951BF8" w:rsidRDefault="0055264C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81F93F7" w14:textId="77777777" w:rsidR="00951BF8" w:rsidRPr="00BF47B6" w:rsidRDefault="00951BF8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51BF8" w:rsidRPr="00BF47B6" w14:paraId="2166DE59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162DA023" w14:textId="1EB65B44" w:rsidR="00951BF8" w:rsidRDefault="00951BF8" w:rsidP="00951BF8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FE57FF">
              <w:rPr>
                <w:rFonts w:eastAsia="Times New Roman" w:cs="Calibri"/>
                <w:sz w:val="20"/>
                <w:szCs w:val="20"/>
              </w:rPr>
              <w:t>Good working knowledge of Landlord and Tenant Law with an emphasis on Possession proceedings, us</w:t>
            </w:r>
            <w:r>
              <w:rPr>
                <w:rFonts w:eastAsia="Times New Roman" w:cs="Calibri"/>
                <w:sz w:val="20"/>
                <w:szCs w:val="20"/>
              </w:rPr>
              <w:t xml:space="preserve">ing </w:t>
            </w:r>
            <w:r w:rsidRPr="00FE57FF">
              <w:rPr>
                <w:rFonts w:eastAsia="Times New Roman" w:cs="Calibri"/>
                <w:sz w:val="20"/>
                <w:szCs w:val="20"/>
              </w:rPr>
              <w:t>of PCOL and MCOL</w:t>
            </w:r>
            <w:r>
              <w:rPr>
                <w:rFonts w:eastAsia="Times New Roman" w:cs="Calibri"/>
                <w:sz w:val="20"/>
                <w:szCs w:val="20"/>
              </w:rPr>
              <w:t xml:space="preserve">, and knowledge of </w:t>
            </w:r>
            <w:r w:rsidRPr="00951BF8">
              <w:rPr>
                <w:rFonts w:eastAsia="Times New Roman" w:cs="Calibri"/>
                <w:sz w:val="20"/>
                <w:szCs w:val="20"/>
              </w:rPr>
              <w:t>Housing Benefit Regulations and welfare benefit systems.</w:t>
            </w:r>
          </w:p>
        </w:tc>
        <w:tc>
          <w:tcPr>
            <w:tcW w:w="1134" w:type="dxa"/>
            <w:vAlign w:val="center"/>
          </w:tcPr>
          <w:p w14:paraId="6F65139D" w14:textId="4235AF73" w:rsidR="00951BF8" w:rsidRDefault="0055264C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3AE5105" w14:textId="77777777" w:rsidR="00951BF8" w:rsidRPr="00BF47B6" w:rsidRDefault="00951BF8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51BF8" w:rsidRPr="00BF47B6" w14:paraId="0F6CA00B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7AE72229" w14:textId="7C2125DC" w:rsidR="00951BF8" w:rsidRDefault="00951BF8" w:rsidP="00951BF8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B449D">
              <w:rPr>
                <w:rFonts w:eastAsia="Times New Roman" w:cs="Calibri"/>
                <w:sz w:val="20"/>
                <w:szCs w:val="20"/>
              </w:rPr>
              <w:t xml:space="preserve">Excellent numeracy </w:t>
            </w:r>
            <w:r>
              <w:rPr>
                <w:rFonts w:eastAsia="Times New Roman" w:cs="Calibri"/>
                <w:sz w:val="20"/>
                <w:szCs w:val="20"/>
              </w:rPr>
              <w:t xml:space="preserve">and communication skills with the ability to manage sensitive conversations empathetically.  </w:t>
            </w:r>
          </w:p>
        </w:tc>
        <w:tc>
          <w:tcPr>
            <w:tcW w:w="1134" w:type="dxa"/>
            <w:vAlign w:val="center"/>
          </w:tcPr>
          <w:p w14:paraId="10167B21" w14:textId="2098A16D" w:rsidR="00951BF8" w:rsidRDefault="0055264C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97E5AC2" w14:textId="77777777" w:rsidR="00951BF8" w:rsidRPr="00BF47B6" w:rsidRDefault="00951BF8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51BF8" w:rsidRPr="00BF47B6" w14:paraId="54BFAA08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08DA32B0" w14:textId="7A407F77" w:rsidR="00951BF8" w:rsidRDefault="00951BF8" w:rsidP="00951BF8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lastRenderedPageBreak/>
              <w:t>Attention to detail, accuracy and time keeping is imperative.</w:t>
            </w:r>
          </w:p>
        </w:tc>
        <w:tc>
          <w:tcPr>
            <w:tcW w:w="1134" w:type="dxa"/>
            <w:vAlign w:val="center"/>
          </w:tcPr>
          <w:p w14:paraId="35D735EC" w14:textId="1A75937D" w:rsidR="00951BF8" w:rsidRDefault="0055264C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C3C6A1D" w14:textId="77777777" w:rsidR="00951BF8" w:rsidRPr="00BF47B6" w:rsidRDefault="00951BF8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51BF8" w:rsidRPr="00BF47B6" w14:paraId="767A8202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76418732" w14:textId="2F43CBF9" w:rsidR="00951BF8" w:rsidRPr="008D51FA" w:rsidRDefault="00AD4993" w:rsidP="00951BF8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Successful at working collaboratively with internal and external parties.</w:t>
            </w:r>
          </w:p>
        </w:tc>
        <w:tc>
          <w:tcPr>
            <w:tcW w:w="1134" w:type="dxa"/>
            <w:vAlign w:val="center"/>
          </w:tcPr>
          <w:p w14:paraId="4AEC92BB" w14:textId="428CE5BE" w:rsidR="00951BF8" w:rsidRDefault="00951BF8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5FCA7" w14:textId="2BA7E16D" w:rsidR="00951BF8" w:rsidRPr="00BF47B6" w:rsidRDefault="0055264C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AD4993" w:rsidRPr="00BF47B6" w14:paraId="5BD06C49" w14:textId="77777777" w:rsidTr="00BD6F87">
        <w:trPr>
          <w:jc w:val="center"/>
        </w:trPr>
        <w:tc>
          <w:tcPr>
            <w:tcW w:w="7939" w:type="dxa"/>
            <w:shd w:val="clear" w:color="auto" w:fill="auto"/>
          </w:tcPr>
          <w:p w14:paraId="10ADD816" w14:textId="30138151" w:rsidR="00AD4993" w:rsidRDefault="00AD4993" w:rsidP="00951BF8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995CB2">
              <w:rPr>
                <w:rFonts w:eastAsia="Times New Roman" w:cs="Calibri"/>
                <w:sz w:val="20"/>
                <w:szCs w:val="20"/>
              </w:rPr>
              <w:t>Ability to use ‘Microsoft Office’ to intermediate standard and income management software packages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8478A92" w14:textId="627FE338" w:rsidR="00AD4993" w:rsidRDefault="0055264C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B9C0749" w14:textId="77777777" w:rsidR="00AD4993" w:rsidRPr="00BF47B6" w:rsidRDefault="00AD4993" w:rsidP="00951BF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309E3BE" w14:textId="204A9FD5" w:rsidR="00E02990" w:rsidRDefault="00E02990"/>
    <w:sectPr w:rsidR="00E02990" w:rsidSect="00384F6A">
      <w:headerReference w:type="default" r:id="rId7"/>
      <w:footerReference w:type="default" r:id="rId8"/>
      <w:headerReference w:type="firs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16D6" w14:textId="77777777" w:rsidR="001C6FA2" w:rsidRDefault="001C6FA2">
      <w:pPr>
        <w:spacing w:after="0" w:line="240" w:lineRule="auto"/>
      </w:pPr>
      <w:r>
        <w:separator/>
      </w:r>
    </w:p>
  </w:endnote>
  <w:endnote w:type="continuationSeparator" w:id="0">
    <w:p w14:paraId="7798F95B" w14:textId="77777777" w:rsidR="001C6FA2" w:rsidRDefault="001C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AF22" w14:textId="77777777" w:rsidR="001C6FA2" w:rsidRDefault="001C6FA2" w:rsidP="00384F6A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BF73" w14:textId="77777777" w:rsidR="001C6FA2" w:rsidRDefault="001C6FA2">
      <w:pPr>
        <w:spacing w:after="0" w:line="240" w:lineRule="auto"/>
      </w:pPr>
      <w:r>
        <w:separator/>
      </w:r>
    </w:p>
  </w:footnote>
  <w:footnote w:type="continuationSeparator" w:id="0">
    <w:p w14:paraId="40A4B597" w14:textId="77777777" w:rsidR="001C6FA2" w:rsidRDefault="001C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A56" w14:textId="77777777" w:rsidR="001C6FA2" w:rsidRPr="00E177EB" w:rsidRDefault="001C6FA2" w:rsidP="008D51FA">
    <w:pPr>
      <w:spacing w:after="0"/>
      <w:jc w:val="center"/>
      <w:rPr>
        <w:rFonts w:eastAsia="Times New Roman" w:cs="Calibri"/>
        <w:b/>
        <w:sz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6F9796B" wp14:editId="1BB3D6D0">
          <wp:simplePos x="0" y="0"/>
          <wp:positionH relativeFrom="column">
            <wp:posOffset>5704084</wp:posOffset>
          </wp:positionH>
          <wp:positionV relativeFrom="paragraph">
            <wp:posOffset>-112383</wp:posOffset>
          </wp:positionV>
          <wp:extent cx="1146211" cy="5697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 Housing logo MA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71" t="24023" r="21726" b="27646"/>
                  <a:stretch/>
                </pic:blipFill>
                <pic:spPr bwMode="auto">
                  <a:xfrm>
                    <a:off x="0" y="0"/>
                    <a:ext cx="1157985" cy="575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7EB">
      <w:rPr>
        <w:rFonts w:eastAsia="Times New Roman" w:cs="Calibri"/>
        <w:b/>
        <w:sz w:val="26"/>
      </w:rPr>
      <w:t>JOB DESCRIPTION</w:t>
    </w:r>
  </w:p>
  <w:p w14:paraId="627CCB27" w14:textId="77777777" w:rsidR="001C6FA2" w:rsidRDefault="001C6FA2" w:rsidP="00384F6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44B457" wp14:editId="2FC752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D2DA0" w14:textId="77777777" w:rsidR="001C6FA2" w:rsidRDefault="001C6FA2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B4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42D2DA0" w14:textId="77777777" w:rsidR="001C6FA2" w:rsidRDefault="001C6FA2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FF21" w14:textId="77777777" w:rsidR="001C6FA2" w:rsidRDefault="001C6FA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CA4DFBA" wp14:editId="2C278B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5EE43" w14:textId="77777777" w:rsidR="001C6FA2" w:rsidRDefault="001C6FA2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4D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B85EE43" w14:textId="77777777" w:rsidR="001C6FA2" w:rsidRDefault="001C6FA2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BF8"/>
    <w:multiLevelType w:val="hybridMultilevel"/>
    <w:tmpl w:val="768C7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80002"/>
    <w:multiLevelType w:val="hybridMultilevel"/>
    <w:tmpl w:val="9984D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73E61"/>
    <w:multiLevelType w:val="hybridMultilevel"/>
    <w:tmpl w:val="A50E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C1545"/>
    <w:multiLevelType w:val="hybridMultilevel"/>
    <w:tmpl w:val="4DE00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3AC9"/>
    <w:multiLevelType w:val="hybridMultilevel"/>
    <w:tmpl w:val="D656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65468">
    <w:abstractNumId w:val="3"/>
  </w:num>
  <w:num w:numId="2" w16cid:durableId="1260524485">
    <w:abstractNumId w:val="2"/>
  </w:num>
  <w:num w:numId="3" w16cid:durableId="1463502085">
    <w:abstractNumId w:val="4"/>
  </w:num>
  <w:num w:numId="4" w16cid:durableId="1850221105">
    <w:abstractNumId w:val="1"/>
  </w:num>
  <w:num w:numId="5" w16cid:durableId="155609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9"/>
    <w:rsid w:val="00035AC9"/>
    <w:rsid w:val="00061E73"/>
    <w:rsid w:val="00070FE5"/>
    <w:rsid w:val="000942E9"/>
    <w:rsid w:val="000A0676"/>
    <w:rsid w:val="00113A57"/>
    <w:rsid w:val="00133D58"/>
    <w:rsid w:val="001468C6"/>
    <w:rsid w:val="001777AF"/>
    <w:rsid w:val="00180641"/>
    <w:rsid w:val="001C30BD"/>
    <w:rsid w:val="001C6FA2"/>
    <w:rsid w:val="002208D0"/>
    <w:rsid w:val="0024286B"/>
    <w:rsid w:val="00245CAA"/>
    <w:rsid w:val="00282B9A"/>
    <w:rsid w:val="002F27F9"/>
    <w:rsid w:val="00314507"/>
    <w:rsid w:val="0035004A"/>
    <w:rsid w:val="00384F6A"/>
    <w:rsid w:val="003C717C"/>
    <w:rsid w:val="003E4A2C"/>
    <w:rsid w:val="00451761"/>
    <w:rsid w:val="004A765E"/>
    <w:rsid w:val="004B1BFC"/>
    <w:rsid w:val="004D11F4"/>
    <w:rsid w:val="004D70DD"/>
    <w:rsid w:val="00506F80"/>
    <w:rsid w:val="0055264C"/>
    <w:rsid w:val="005766B5"/>
    <w:rsid w:val="0059180F"/>
    <w:rsid w:val="005A5235"/>
    <w:rsid w:val="005C4B18"/>
    <w:rsid w:val="005C6A39"/>
    <w:rsid w:val="005D65EB"/>
    <w:rsid w:val="005E0681"/>
    <w:rsid w:val="005E44E1"/>
    <w:rsid w:val="005F673B"/>
    <w:rsid w:val="00604FDF"/>
    <w:rsid w:val="00624990"/>
    <w:rsid w:val="00635D4E"/>
    <w:rsid w:val="006962FF"/>
    <w:rsid w:val="006F7B6A"/>
    <w:rsid w:val="00704ABB"/>
    <w:rsid w:val="0070774A"/>
    <w:rsid w:val="007143E1"/>
    <w:rsid w:val="007419D9"/>
    <w:rsid w:val="007B342C"/>
    <w:rsid w:val="008A679B"/>
    <w:rsid w:val="008B449D"/>
    <w:rsid w:val="008C0E74"/>
    <w:rsid w:val="008D51FA"/>
    <w:rsid w:val="008D6AC9"/>
    <w:rsid w:val="00951BF8"/>
    <w:rsid w:val="009B3F1A"/>
    <w:rsid w:val="009F42BD"/>
    <w:rsid w:val="00A14205"/>
    <w:rsid w:val="00AB7271"/>
    <w:rsid w:val="00AC185A"/>
    <w:rsid w:val="00AC43D1"/>
    <w:rsid w:val="00AD4993"/>
    <w:rsid w:val="00AF49AA"/>
    <w:rsid w:val="00B31832"/>
    <w:rsid w:val="00B92CF1"/>
    <w:rsid w:val="00B936AE"/>
    <w:rsid w:val="00BD6F87"/>
    <w:rsid w:val="00C11496"/>
    <w:rsid w:val="00C44AD9"/>
    <w:rsid w:val="00C45736"/>
    <w:rsid w:val="00CA5334"/>
    <w:rsid w:val="00CB51A3"/>
    <w:rsid w:val="00CC2DB7"/>
    <w:rsid w:val="00CC79B0"/>
    <w:rsid w:val="00D82650"/>
    <w:rsid w:val="00D94F68"/>
    <w:rsid w:val="00DE7D75"/>
    <w:rsid w:val="00E02990"/>
    <w:rsid w:val="00EA137C"/>
    <w:rsid w:val="00F01F38"/>
    <w:rsid w:val="00F416ED"/>
    <w:rsid w:val="00F54081"/>
    <w:rsid w:val="00F67FA4"/>
    <w:rsid w:val="00F82F4F"/>
    <w:rsid w:val="00F9067A"/>
    <w:rsid w:val="00FE2452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F1297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0DD"/>
    <w:pPr>
      <w:ind w:left="720"/>
      <w:contextualSpacing/>
    </w:pPr>
  </w:style>
  <w:style w:type="paragraph" w:styleId="NoSpacing">
    <w:name w:val="No Spacing"/>
    <w:uiPriority w:val="1"/>
    <w:qFormat/>
    <w:rsid w:val="00CC79B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 Housing Trust</dc:creator>
  <cp:keywords/>
  <dc:description/>
  <cp:lastModifiedBy>Bethany Gaughan</cp:lastModifiedBy>
  <cp:revision>7</cp:revision>
  <dcterms:created xsi:type="dcterms:W3CDTF">2023-06-08T21:08:00Z</dcterms:created>
  <dcterms:modified xsi:type="dcterms:W3CDTF">2023-08-02T08:36:00Z</dcterms:modified>
</cp:coreProperties>
</file>