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E5B22" w14:textId="29F0DF70" w:rsidR="00557B17" w:rsidRDefault="00557B17" w:rsidP="00557B17">
      <w:pPr>
        <w:tabs>
          <w:tab w:val="left" w:pos="2076"/>
        </w:tabs>
      </w:pPr>
      <w:r>
        <w:tab/>
      </w:r>
      <w:r w:rsidRPr="0045253F">
        <w:rPr>
          <w:noProof/>
          <w:lang w:eastAsia="en-GB"/>
        </w:rPr>
        <w:drawing>
          <wp:anchor distT="0" distB="0" distL="114300" distR="114300" simplePos="0" relativeHeight="251659264" behindDoc="0" locked="0" layoutInCell="1" allowOverlap="1" wp14:anchorId="29C0FF17" wp14:editId="6C06ED05">
            <wp:simplePos x="0" y="0"/>
            <wp:positionH relativeFrom="margin">
              <wp:posOffset>0</wp:posOffset>
            </wp:positionH>
            <wp:positionV relativeFrom="paragraph">
              <wp:posOffset>281305</wp:posOffset>
            </wp:positionV>
            <wp:extent cx="1428115" cy="1748790"/>
            <wp:effectExtent l="0" t="0" r="635" b="3810"/>
            <wp:wrapSquare wrapText="bothSides"/>
            <wp:docPr id="1" name="Picture 1" descr="C:\Users\Anna Baker Cresswell\Documents\Noah and ongoing PR\HG literature and logos\New strapline in cmyk format Oct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 Baker Cresswell\Documents\Noah and ongoing PR\HG literature and logos\New strapline in cmyk format Oct 20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115" cy="174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105E54" w14:textId="77777777" w:rsidR="00557B17" w:rsidRDefault="00557B17"/>
    <w:p w14:paraId="1AF57EB0" w14:textId="77777777" w:rsidR="00557B17" w:rsidRDefault="00557B17" w:rsidP="00557B17">
      <w:pPr>
        <w:jc w:val="center"/>
      </w:pPr>
    </w:p>
    <w:p w14:paraId="3F7B1276" w14:textId="77777777" w:rsidR="00557B17" w:rsidRDefault="00557B17" w:rsidP="00557B17">
      <w:pPr>
        <w:jc w:val="center"/>
      </w:pPr>
    </w:p>
    <w:p w14:paraId="211AE741" w14:textId="77777777" w:rsidR="00557B17" w:rsidRDefault="00557B17"/>
    <w:p w14:paraId="7C00A081" w14:textId="77777777" w:rsidR="00557B17" w:rsidRDefault="00557B17"/>
    <w:p w14:paraId="57B00D30" w14:textId="77777777" w:rsidR="00557B17" w:rsidRDefault="00557B17" w:rsidP="00557B17">
      <w:pPr>
        <w:rPr>
          <w:b/>
          <w:bCs/>
        </w:rPr>
      </w:pPr>
    </w:p>
    <w:p w14:paraId="713944F0" w14:textId="77777777" w:rsidR="00557B17" w:rsidRDefault="00557B17" w:rsidP="00557B17">
      <w:pPr>
        <w:rPr>
          <w:b/>
          <w:bCs/>
        </w:rPr>
      </w:pPr>
    </w:p>
    <w:p w14:paraId="6C30D5D9" w14:textId="2C379B28" w:rsidR="00557B17" w:rsidRPr="00557B17" w:rsidRDefault="00557B17" w:rsidP="00557B17">
      <w:r w:rsidRPr="00557B17">
        <w:rPr>
          <w:b/>
          <w:bCs/>
        </w:rPr>
        <w:t>Job Title:</w:t>
      </w:r>
      <w:r w:rsidRPr="00557B17">
        <w:t xml:space="preserve"> </w:t>
      </w:r>
      <w:r w:rsidR="00343498">
        <w:t xml:space="preserve"> </w:t>
      </w:r>
      <w:r w:rsidR="00343498" w:rsidRPr="00343498">
        <w:t>Fundraising &amp; Partnerships Manager</w:t>
      </w:r>
      <w:r w:rsidRPr="00557B17">
        <w:br/>
      </w:r>
      <w:r w:rsidRPr="00557B17">
        <w:rPr>
          <w:b/>
          <w:bCs/>
        </w:rPr>
        <w:t>Reports to:</w:t>
      </w:r>
      <w:r w:rsidRPr="00557B17">
        <w:t xml:space="preserve"> Chief Executive Officer (CEO)</w:t>
      </w:r>
      <w:r w:rsidRPr="00557B17">
        <w:br/>
      </w:r>
      <w:r w:rsidRPr="00557B17">
        <w:rPr>
          <w:b/>
          <w:bCs/>
        </w:rPr>
        <w:t>Location:</w:t>
      </w:r>
      <w:r w:rsidRPr="00557B17">
        <w:t xml:space="preserve"> Remote, with required travel in support of fundraising activities</w:t>
      </w:r>
      <w:r w:rsidRPr="00557B17">
        <w:br/>
      </w:r>
      <w:r w:rsidRPr="00557B17">
        <w:rPr>
          <w:b/>
          <w:bCs/>
        </w:rPr>
        <w:t>Salary:</w:t>
      </w:r>
      <w:r w:rsidRPr="00557B17">
        <w:t xml:space="preserve"> £3</w:t>
      </w:r>
      <w:r>
        <w:t>5</w:t>
      </w:r>
      <w:r w:rsidRPr="00557B17">
        <w:t>,000 - £42,000 per annum (depending on experience)</w:t>
      </w:r>
    </w:p>
    <w:p w14:paraId="2888CA9D" w14:textId="77777777" w:rsidR="00557B17" w:rsidRPr="00557B17" w:rsidRDefault="00000000" w:rsidP="00557B17">
      <w:r>
        <w:pict w14:anchorId="45CC4311">
          <v:rect id="_x0000_i1025" style="width:0;height:1.5pt" o:hralign="center" o:hrstd="t" o:hr="t" fillcolor="#a0a0a0" stroked="f"/>
        </w:pict>
      </w:r>
    </w:p>
    <w:p w14:paraId="22D1A85A" w14:textId="77777777" w:rsidR="00557B17" w:rsidRPr="00557B17" w:rsidRDefault="00557B17" w:rsidP="00557B17">
      <w:pPr>
        <w:rPr>
          <w:b/>
          <w:bCs/>
        </w:rPr>
      </w:pPr>
      <w:r w:rsidRPr="00557B17">
        <w:rPr>
          <w:b/>
          <w:bCs/>
        </w:rPr>
        <w:t>Purpose of the Role</w:t>
      </w:r>
    </w:p>
    <w:p w14:paraId="60344AD4" w14:textId="19B3201A" w:rsidR="00557B17" w:rsidRDefault="002E2E72" w:rsidP="00557B17">
      <w:r>
        <w:t xml:space="preserve">To carry out </w:t>
      </w:r>
      <w:r w:rsidR="00557B17" w:rsidRPr="00557B17">
        <w:t>fundraising activities for HighGround, ensuring sustainable income streams to support the charity’s key programs, including Horticultural Therapy at Stanford Hall, Residential Rural Weeks at Askham Bryan College, Bicton College, and Sparsholt College, and Residential Experience Weeks</w:t>
      </w:r>
      <w:r w:rsidR="00AB2DDC">
        <w:t xml:space="preserve"> and </w:t>
      </w:r>
      <w:r w:rsidR="00343498">
        <w:t>V</w:t>
      </w:r>
      <w:r w:rsidR="00AB2DDC">
        <w:t xml:space="preserve">irtual </w:t>
      </w:r>
      <w:r w:rsidR="00343498">
        <w:t>R</w:t>
      </w:r>
      <w:r w:rsidR="00035A27">
        <w:t xml:space="preserve">ural </w:t>
      </w:r>
      <w:r w:rsidR="00343498">
        <w:t>W</w:t>
      </w:r>
      <w:r w:rsidR="00035A27">
        <w:t>eek</w:t>
      </w:r>
      <w:r w:rsidR="00343498">
        <w:t>s</w:t>
      </w:r>
      <w:r w:rsidR="00557B17" w:rsidRPr="00557B17">
        <w:t xml:space="preserve"> at Bicton College.</w:t>
      </w:r>
    </w:p>
    <w:p w14:paraId="7796D0F8" w14:textId="77777777" w:rsidR="001F62DA" w:rsidRDefault="001F62DA">
      <w:r>
        <w:br w:type="page"/>
      </w:r>
    </w:p>
    <w:p w14:paraId="514E7AC1" w14:textId="77777777" w:rsidR="00557B17" w:rsidRPr="00557B17" w:rsidRDefault="00557B17" w:rsidP="00557B17"/>
    <w:p w14:paraId="51278174" w14:textId="77777777" w:rsidR="00557B17" w:rsidRPr="00557B17" w:rsidRDefault="00000000" w:rsidP="00557B17">
      <w:r>
        <w:pict w14:anchorId="4835C34F">
          <v:rect id="_x0000_i1026" style="width:0;height:1.5pt" o:hralign="center" o:hrstd="t" o:hr="t" fillcolor="#a0a0a0" stroked="f"/>
        </w:pict>
      </w:r>
    </w:p>
    <w:p w14:paraId="739E2231" w14:textId="77777777" w:rsidR="00557B17" w:rsidRPr="00557B17" w:rsidRDefault="00557B17" w:rsidP="00557B17">
      <w:pPr>
        <w:rPr>
          <w:b/>
          <w:bCs/>
        </w:rPr>
      </w:pPr>
      <w:r w:rsidRPr="00557B17">
        <w:rPr>
          <w:b/>
          <w:bCs/>
        </w:rPr>
        <w:t>Key Responsibilities</w:t>
      </w:r>
    </w:p>
    <w:p w14:paraId="1492B6F4" w14:textId="77777777" w:rsidR="00557B17" w:rsidRPr="00557B17" w:rsidRDefault="00557B17" w:rsidP="00557B17">
      <w:pPr>
        <w:rPr>
          <w:b/>
          <w:bCs/>
        </w:rPr>
      </w:pPr>
      <w:r w:rsidRPr="00557B17">
        <w:rPr>
          <w:b/>
          <w:bCs/>
        </w:rPr>
        <w:t>Strategic Fundraising</w:t>
      </w:r>
    </w:p>
    <w:p w14:paraId="5B815993" w14:textId="581B8298" w:rsidR="00557B17" w:rsidRPr="00557B17" w:rsidRDefault="00557B17" w:rsidP="00557B17">
      <w:pPr>
        <w:numPr>
          <w:ilvl w:val="0"/>
          <w:numId w:val="1"/>
        </w:numPr>
      </w:pPr>
      <w:r w:rsidRPr="00557B17">
        <w:t>Develop and implement a comprehensive fundraising strategy</w:t>
      </w:r>
      <w:r w:rsidR="002E2E72">
        <w:t xml:space="preserve"> </w:t>
      </w:r>
      <w:proofErr w:type="gramStart"/>
      <w:r w:rsidR="002E2E72">
        <w:t>in order to</w:t>
      </w:r>
      <w:proofErr w:type="gramEnd"/>
      <w:r w:rsidR="002E2E72">
        <w:t xml:space="preserve"> fully fund</w:t>
      </w:r>
      <w:r w:rsidR="00343498">
        <w:t>:</w:t>
      </w:r>
    </w:p>
    <w:p w14:paraId="78BC6320" w14:textId="190E69B7" w:rsidR="00557B17" w:rsidRDefault="00557B17" w:rsidP="00557B17">
      <w:pPr>
        <w:numPr>
          <w:ilvl w:val="1"/>
          <w:numId w:val="1"/>
        </w:numPr>
      </w:pPr>
      <w:r>
        <w:t>Operational overheads</w:t>
      </w:r>
    </w:p>
    <w:p w14:paraId="62E194E4" w14:textId="77777777" w:rsidR="00557B17" w:rsidRPr="00557B17" w:rsidRDefault="00557B17" w:rsidP="00557B17">
      <w:pPr>
        <w:numPr>
          <w:ilvl w:val="1"/>
          <w:numId w:val="1"/>
        </w:numPr>
      </w:pPr>
      <w:r w:rsidRPr="00557B17">
        <w:t>Delivery of key programs (e.g., Horticultural Therapy and Rural Weeks).</w:t>
      </w:r>
    </w:p>
    <w:p w14:paraId="0319DF13" w14:textId="77777777" w:rsidR="00557B17" w:rsidRDefault="00557B17" w:rsidP="00E569A2">
      <w:pPr>
        <w:numPr>
          <w:ilvl w:val="0"/>
          <w:numId w:val="1"/>
        </w:numPr>
      </w:pPr>
      <w:r w:rsidRPr="00557B17">
        <w:t>Building relationships with key funders, including the Army Central Fund (ACF), Army Benevolent Fund (ABF), Royal Marines Charity (RMC), Greenwich Hospital, and the Royal Air Force Benevolent Fund (RAFBF).</w:t>
      </w:r>
    </w:p>
    <w:p w14:paraId="15876D6B" w14:textId="71358476" w:rsidR="00557B17" w:rsidRPr="00557B17" w:rsidRDefault="00557B17" w:rsidP="00E569A2">
      <w:pPr>
        <w:numPr>
          <w:ilvl w:val="0"/>
          <w:numId w:val="1"/>
        </w:numPr>
      </w:pPr>
      <w:r>
        <w:t>Monitoring and applying for Key grants aligned to HighGrounds key functions</w:t>
      </w:r>
    </w:p>
    <w:p w14:paraId="128F9321" w14:textId="380FB33B" w:rsidR="00557B17" w:rsidRDefault="00557B17" w:rsidP="00557B17">
      <w:pPr>
        <w:numPr>
          <w:ilvl w:val="0"/>
          <w:numId w:val="1"/>
        </w:numPr>
      </w:pPr>
      <w:r w:rsidRPr="00557B17">
        <w:t>Identify and cultivate relationships with high-net-worth individuals, corporate sponsors, and philanthropic organi</w:t>
      </w:r>
      <w:r w:rsidR="0095170F">
        <w:t>s</w:t>
      </w:r>
      <w:r w:rsidRPr="00557B17">
        <w:t>ations.</w:t>
      </w:r>
    </w:p>
    <w:p w14:paraId="5BA438C3" w14:textId="77777777" w:rsidR="0095170F" w:rsidRPr="00557B17" w:rsidRDefault="0095170F" w:rsidP="0095170F"/>
    <w:p w14:paraId="290C0773" w14:textId="77777777" w:rsidR="00557B17" w:rsidRPr="00557B17" w:rsidRDefault="00557B17" w:rsidP="00557B17">
      <w:pPr>
        <w:rPr>
          <w:b/>
          <w:bCs/>
        </w:rPr>
      </w:pPr>
      <w:r w:rsidRPr="00557B17">
        <w:rPr>
          <w:b/>
          <w:bCs/>
        </w:rPr>
        <w:t>Campaigns and Events</w:t>
      </w:r>
    </w:p>
    <w:p w14:paraId="4D868292" w14:textId="77777777" w:rsidR="00557B17" w:rsidRPr="00557B17" w:rsidRDefault="00557B17" w:rsidP="00557B17">
      <w:pPr>
        <w:numPr>
          <w:ilvl w:val="0"/>
          <w:numId w:val="2"/>
        </w:numPr>
      </w:pPr>
      <w:r w:rsidRPr="00557B17">
        <w:t>Plan, execute, and evaluate fundraising campaigns to engage supporters and increase revenue.</w:t>
      </w:r>
    </w:p>
    <w:p w14:paraId="3C4BF2EE" w14:textId="3517FC35" w:rsidR="00557B17" w:rsidRPr="00557B17" w:rsidRDefault="00557B17" w:rsidP="00557B17">
      <w:pPr>
        <w:numPr>
          <w:ilvl w:val="0"/>
          <w:numId w:val="2"/>
        </w:numPr>
      </w:pPr>
      <w:r w:rsidRPr="00557B17">
        <w:t>Organi</w:t>
      </w:r>
      <w:r w:rsidR="0095170F">
        <w:t>s</w:t>
      </w:r>
      <w:r w:rsidRPr="00557B17">
        <w:t>e and participate in events, ensuring they align with HighGround’s mission and goals.</w:t>
      </w:r>
    </w:p>
    <w:p w14:paraId="48B370C6" w14:textId="4880F2F3" w:rsidR="00557B17" w:rsidRPr="00557B17" w:rsidRDefault="00557B17" w:rsidP="00557B17">
      <w:pPr>
        <w:numPr>
          <w:ilvl w:val="0"/>
          <w:numId w:val="2"/>
        </w:numPr>
      </w:pPr>
      <w:r w:rsidRPr="00557B17">
        <w:t>Drive donor engagement through tailored communications and acknowledg</w:t>
      </w:r>
      <w:r w:rsidR="002E2E72">
        <w:t>e</w:t>
      </w:r>
      <w:r w:rsidRPr="00557B17">
        <w:t>ment strategies.</w:t>
      </w:r>
    </w:p>
    <w:p w14:paraId="26FA2D61" w14:textId="77777777" w:rsidR="00557B17" w:rsidRPr="00557B17" w:rsidRDefault="00557B17" w:rsidP="00557B17">
      <w:pPr>
        <w:rPr>
          <w:b/>
          <w:bCs/>
        </w:rPr>
      </w:pPr>
      <w:r w:rsidRPr="00557B17">
        <w:rPr>
          <w:b/>
          <w:bCs/>
        </w:rPr>
        <w:t>Donor Engagement and Stewardship</w:t>
      </w:r>
    </w:p>
    <w:p w14:paraId="66ABA6B9" w14:textId="7B94C804" w:rsidR="00557B17" w:rsidRPr="00557B17" w:rsidRDefault="00557B17" w:rsidP="00557B17">
      <w:pPr>
        <w:numPr>
          <w:ilvl w:val="0"/>
          <w:numId w:val="3"/>
        </w:numPr>
      </w:pPr>
      <w:r w:rsidRPr="00557B17">
        <w:t>Ensure excellent donor stewardship practices, including timely acknowledg</w:t>
      </w:r>
      <w:r w:rsidR="002E2E72">
        <w:t>e</w:t>
      </w:r>
      <w:r w:rsidRPr="00557B17">
        <w:t>ments and meaningful engagement.</w:t>
      </w:r>
    </w:p>
    <w:p w14:paraId="6227E1CB" w14:textId="77777777" w:rsidR="00557B17" w:rsidRPr="00557B17" w:rsidRDefault="00557B17" w:rsidP="00557B17">
      <w:pPr>
        <w:numPr>
          <w:ilvl w:val="0"/>
          <w:numId w:val="3"/>
        </w:numPr>
      </w:pPr>
      <w:r w:rsidRPr="00557B17">
        <w:t>Develop legacy giving programs to secure long-term support.</w:t>
      </w:r>
    </w:p>
    <w:p w14:paraId="2F0E19BD" w14:textId="77777777" w:rsidR="00557B17" w:rsidRPr="00557B17" w:rsidRDefault="00557B17" w:rsidP="00557B17">
      <w:pPr>
        <w:rPr>
          <w:b/>
          <w:bCs/>
        </w:rPr>
      </w:pPr>
      <w:r w:rsidRPr="00557B17">
        <w:rPr>
          <w:b/>
          <w:bCs/>
        </w:rPr>
        <w:t>Corporate and Community Support</w:t>
      </w:r>
    </w:p>
    <w:p w14:paraId="4AFE3E34" w14:textId="77777777" w:rsidR="00557B17" w:rsidRPr="00557B17" w:rsidRDefault="00557B17" w:rsidP="00557B17">
      <w:pPr>
        <w:numPr>
          <w:ilvl w:val="0"/>
          <w:numId w:val="4"/>
        </w:numPr>
      </w:pPr>
      <w:r w:rsidRPr="00557B17">
        <w:t>Build and maintain relationships with corporate partners and community groups to secure sponsorships and donations.</w:t>
      </w:r>
    </w:p>
    <w:p w14:paraId="16A522DD" w14:textId="77777777" w:rsidR="00557B17" w:rsidRPr="00557B17" w:rsidRDefault="00557B17" w:rsidP="00557B17">
      <w:pPr>
        <w:numPr>
          <w:ilvl w:val="0"/>
          <w:numId w:val="4"/>
        </w:numPr>
      </w:pPr>
      <w:r w:rsidRPr="00557B17">
        <w:t>Promote HighGround’s mission through strategic collaborations and partnerships.</w:t>
      </w:r>
    </w:p>
    <w:p w14:paraId="5837472F" w14:textId="77777777" w:rsidR="00557B17" w:rsidRPr="00557B17" w:rsidRDefault="00557B17" w:rsidP="00557B17">
      <w:pPr>
        <w:rPr>
          <w:b/>
          <w:bCs/>
        </w:rPr>
      </w:pPr>
      <w:r w:rsidRPr="00557B17">
        <w:rPr>
          <w:b/>
          <w:bCs/>
        </w:rPr>
        <w:t>Monitoring and Reporting</w:t>
      </w:r>
    </w:p>
    <w:p w14:paraId="5BB2BA2D" w14:textId="77777777" w:rsidR="00557B17" w:rsidRPr="00557B17" w:rsidRDefault="00557B17" w:rsidP="00557B17">
      <w:pPr>
        <w:numPr>
          <w:ilvl w:val="0"/>
          <w:numId w:val="5"/>
        </w:numPr>
      </w:pPr>
      <w:r w:rsidRPr="00557B17">
        <w:t>Set and achieve fundraising targets in collaboration with the CEO.</w:t>
      </w:r>
    </w:p>
    <w:p w14:paraId="729D43F6" w14:textId="77777777" w:rsidR="00557B17" w:rsidRPr="00557B17" w:rsidRDefault="00557B17" w:rsidP="00557B17">
      <w:pPr>
        <w:numPr>
          <w:ilvl w:val="0"/>
          <w:numId w:val="5"/>
        </w:numPr>
      </w:pPr>
      <w:r w:rsidRPr="00557B17">
        <w:t>Maintain accurate records of fundraising activities, donor interactions, and income streams.</w:t>
      </w:r>
    </w:p>
    <w:p w14:paraId="164518A0" w14:textId="77777777" w:rsidR="00557B17" w:rsidRPr="00557B17" w:rsidRDefault="00557B17" w:rsidP="00557B17">
      <w:pPr>
        <w:numPr>
          <w:ilvl w:val="0"/>
          <w:numId w:val="5"/>
        </w:numPr>
      </w:pPr>
      <w:r w:rsidRPr="00557B17">
        <w:lastRenderedPageBreak/>
        <w:t>Provide regular reports to the CEO and Trustees on progress, challenges, and opportunities.</w:t>
      </w:r>
    </w:p>
    <w:p w14:paraId="73CE6719" w14:textId="77777777" w:rsidR="00557B17" w:rsidRPr="00557B17" w:rsidRDefault="00000000" w:rsidP="00557B17">
      <w:r>
        <w:pict w14:anchorId="51928943">
          <v:rect id="_x0000_i1027" style="width:0;height:1.5pt" o:hralign="center" o:hrstd="t" o:hr="t" fillcolor="#a0a0a0" stroked="f"/>
        </w:pict>
      </w:r>
    </w:p>
    <w:p w14:paraId="50561408" w14:textId="77777777" w:rsidR="00557B17" w:rsidRPr="00557B17" w:rsidRDefault="00557B17" w:rsidP="00557B17">
      <w:pPr>
        <w:rPr>
          <w:b/>
          <w:bCs/>
        </w:rPr>
      </w:pPr>
      <w:r w:rsidRPr="00557B17">
        <w:rPr>
          <w:b/>
          <w:bCs/>
        </w:rPr>
        <w:t>Key Outputs</w:t>
      </w:r>
    </w:p>
    <w:p w14:paraId="107F8B68" w14:textId="74334568" w:rsidR="00557B17" w:rsidRDefault="00557B17" w:rsidP="00557B17">
      <w:pPr>
        <w:numPr>
          <w:ilvl w:val="0"/>
          <w:numId w:val="6"/>
        </w:numPr>
      </w:pPr>
      <w:r w:rsidRPr="00557B17">
        <w:t>Secure funding to:</w:t>
      </w:r>
    </w:p>
    <w:p w14:paraId="159239DD" w14:textId="043BE0AA" w:rsidR="0095170F" w:rsidRPr="00557B17" w:rsidRDefault="0095170F" w:rsidP="00557B17">
      <w:pPr>
        <w:numPr>
          <w:ilvl w:val="1"/>
          <w:numId w:val="6"/>
        </w:numPr>
      </w:pPr>
      <w:r>
        <w:t>Support HighGround Overheads</w:t>
      </w:r>
    </w:p>
    <w:p w14:paraId="7D4EF71B" w14:textId="77777777" w:rsidR="00557B17" w:rsidRPr="00557B17" w:rsidRDefault="00557B17" w:rsidP="00557B17">
      <w:pPr>
        <w:numPr>
          <w:ilvl w:val="1"/>
          <w:numId w:val="6"/>
        </w:numPr>
      </w:pPr>
      <w:r w:rsidRPr="00557B17">
        <w:t>Sustain delivery of Horticultural Therapy and Residential Weeks programs.</w:t>
      </w:r>
    </w:p>
    <w:p w14:paraId="596AC61C" w14:textId="77777777" w:rsidR="00557B17" w:rsidRPr="00557B17" w:rsidRDefault="00557B17" w:rsidP="00557B17">
      <w:pPr>
        <w:numPr>
          <w:ilvl w:val="0"/>
          <w:numId w:val="6"/>
        </w:numPr>
      </w:pPr>
      <w:r w:rsidRPr="00557B17">
        <w:t>Expanded and diversified donor base, including corporate sponsors, high-net-worth individuals, and legacy donors.</w:t>
      </w:r>
    </w:p>
    <w:p w14:paraId="703F1163" w14:textId="77777777" w:rsidR="00557B17" w:rsidRPr="00557B17" w:rsidRDefault="00557B17" w:rsidP="00557B17">
      <w:pPr>
        <w:numPr>
          <w:ilvl w:val="0"/>
          <w:numId w:val="6"/>
        </w:numPr>
      </w:pPr>
      <w:r w:rsidRPr="00557B17">
        <w:t>Successful execution of targeted fundraising campaigns and events.</w:t>
      </w:r>
    </w:p>
    <w:p w14:paraId="3E8AEE6A" w14:textId="77777777" w:rsidR="00557B17" w:rsidRPr="00557B17" w:rsidRDefault="00557B17" w:rsidP="00557B17">
      <w:pPr>
        <w:numPr>
          <w:ilvl w:val="0"/>
          <w:numId w:val="6"/>
        </w:numPr>
      </w:pPr>
      <w:r w:rsidRPr="00557B17">
        <w:t>Strengthened donor engagement and retention strategies.</w:t>
      </w:r>
    </w:p>
    <w:p w14:paraId="72E91E43" w14:textId="77777777" w:rsidR="00557B17" w:rsidRPr="00557B17" w:rsidRDefault="00000000" w:rsidP="00557B17">
      <w:r>
        <w:pict w14:anchorId="7DA8A7D4">
          <v:rect id="_x0000_i1028" style="width:0;height:1.5pt" o:hralign="center" o:hrstd="t" o:hr="t" fillcolor="#a0a0a0" stroked="f"/>
        </w:pict>
      </w:r>
    </w:p>
    <w:p w14:paraId="00CB9B6F" w14:textId="77777777" w:rsidR="0095170F" w:rsidRDefault="0095170F" w:rsidP="00557B17">
      <w:pPr>
        <w:rPr>
          <w:b/>
          <w:bCs/>
        </w:rPr>
      </w:pPr>
    </w:p>
    <w:p w14:paraId="62F43E37" w14:textId="77777777" w:rsidR="0095170F" w:rsidRDefault="0095170F" w:rsidP="00557B17">
      <w:pPr>
        <w:rPr>
          <w:b/>
          <w:bCs/>
        </w:rPr>
      </w:pPr>
    </w:p>
    <w:p w14:paraId="743AF4A9" w14:textId="1E169238" w:rsidR="00557B17" w:rsidRPr="00557B17" w:rsidRDefault="00557B17" w:rsidP="00557B17">
      <w:pPr>
        <w:rPr>
          <w:b/>
          <w:bCs/>
        </w:rPr>
      </w:pPr>
      <w:r w:rsidRPr="00557B17">
        <w:rPr>
          <w:b/>
          <w:bCs/>
        </w:rPr>
        <w:t>Person Specification</w:t>
      </w:r>
    </w:p>
    <w:p w14:paraId="14C8EF35" w14:textId="77777777" w:rsidR="00557B17" w:rsidRPr="00557B17" w:rsidRDefault="00557B17" w:rsidP="00557B17">
      <w:pPr>
        <w:rPr>
          <w:b/>
          <w:bCs/>
        </w:rPr>
      </w:pPr>
      <w:r w:rsidRPr="00557B17">
        <w:rPr>
          <w:b/>
          <w:bCs/>
        </w:rPr>
        <w:t>Essential Criteria</w:t>
      </w:r>
    </w:p>
    <w:p w14:paraId="7B8D88CF" w14:textId="77777777" w:rsidR="00557B17" w:rsidRPr="00557B17" w:rsidRDefault="00557B17" w:rsidP="00557B17">
      <w:pPr>
        <w:numPr>
          <w:ilvl w:val="0"/>
          <w:numId w:val="7"/>
        </w:numPr>
      </w:pPr>
      <w:r w:rsidRPr="00557B17">
        <w:t>Proven experience in fundraising within the charitable sector.</w:t>
      </w:r>
    </w:p>
    <w:p w14:paraId="7FC6751E" w14:textId="77777777" w:rsidR="00557B17" w:rsidRPr="00557B17" w:rsidRDefault="00557B17" w:rsidP="00557B17">
      <w:pPr>
        <w:numPr>
          <w:ilvl w:val="0"/>
          <w:numId w:val="7"/>
        </w:numPr>
      </w:pPr>
      <w:r w:rsidRPr="00557B17">
        <w:t>Demonstrated success in achieving income targets and managing donor relationships.</w:t>
      </w:r>
    </w:p>
    <w:p w14:paraId="7B87ECEA" w14:textId="77777777" w:rsidR="00557B17" w:rsidRPr="00557B17" w:rsidRDefault="00557B17" w:rsidP="00557B17">
      <w:pPr>
        <w:numPr>
          <w:ilvl w:val="0"/>
          <w:numId w:val="7"/>
        </w:numPr>
      </w:pPr>
      <w:r w:rsidRPr="00557B17">
        <w:t>Strong understanding of fundraising regulations and best practices.</w:t>
      </w:r>
    </w:p>
    <w:p w14:paraId="2898D84D" w14:textId="1777C17C" w:rsidR="00557B17" w:rsidRDefault="00557B17" w:rsidP="00557B17">
      <w:pPr>
        <w:numPr>
          <w:ilvl w:val="0"/>
          <w:numId w:val="7"/>
        </w:numPr>
      </w:pPr>
      <w:r w:rsidRPr="00557B17">
        <w:t xml:space="preserve">Excellent </w:t>
      </w:r>
      <w:r w:rsidR="00E73DB0" w:rsidRPr="00557B17">
        <w:t>written</w:t>
      </w:r>
      <w:r w:rsidR="00E73DB0">
        <w:t xml:space="preserve"> and</w:t>
      </w:r>
      <w:r w:rsidRPr="00557B17">
        <w:t xml:space="preserve"> verbal communication skills.</w:t>
      </w:r>
    </w:p>
    <w:p w14:paraId="122DA0AB" w14:textId="7DB55056" w:rsidR="002E2E72" w:rsidRPr="00557B17" w:rsidRDefault="002E2E72" w:rsidP="00557B17">
      <w:pPr>
        <w:numPr>
          <w:ilvl w:val="0"/>
          <w:numId w:val="7"/>
        </w:numPr>
      </w:pPr>
      <w:r>
        <w:t>Excellent numeracy skills</w:t>
      </w:r>
      <w:r w:rsidR="00343498">
        <w:t xml:space="preserve"> and f</w:t>
      </w:r>
      <w:r w:rsidR="00343498" w:rsidRPr="00343498">
        <w:t>inancial acumen with associated analytical skills</w:t>
      </w:r>
      <w:r w:rsidR="00343498">
        <w:t xml:space="preserve"> </w:t>
      </w:r>
      <w:r>
        <w:t>.</w:t>
      </w:r>
    </w:p>
    <w:p w14:paraId="0AAECF3A" w14:textId="77777777" w:rsidR="00557B17" w:rsidRPr="00557B17" w:rsidRDefault="00557B17" w:rsidP="00557B17">
      <w:pPr>
        <w:numPr>
          <w:ilvl w:val="0"/>
          <w:numId w:val="7"/>
        </w:numPr>
      </w:pPr>
      <w:r w:rsidRPr="00557B17">
        <w:t>Ability to work independently and remotely, managing multiple priorities and deadlines.</w:t>
      </w:r>
    </w:p>
    <w:p w14:paraId="6F50A1F5" w14:textId="5E212581" w:rsidR="00557B17" w:rsidRPr="00557B17" w:rsidRDefault="00557B17" w:rsidP="00557B17">
      <w:pPr>
        <w:numPr>
          <w:ilvl w:val="0"/>
          <w:numId w:val="7"/>
        </w:numPr>
      </w:pPr>
      <w:r w:rsidRPr="00557B17">
        <w:t>Experience organi</w:t>
      </w:r>
      <w:r w:rsidR="0095170F">
        <w:t>s</w:t>
      </w:r>
      <w:r w:rsidRPr="00557B17">
        <w:t>ing fundraising campaigns and events.</w:t>
      </w:r>
    </w:p>
    <w:p w14:paraId="0362358F" w14:textId="77777777" w:rsidR="00557B17" w:rsidRPr="00557B17" w:rsidRDefault="00557B17" w:rsidP="00557B17">
      <w:pPr>
        <w:numPr>
          <w:ilvl w:val="0"/>
          <w:numId w:val="7"/>
        </w:numPr>
      </w:pPr>
      <w:r w:rsidRPr="00557B17">
        <w:t>Proficiency in donor management systems and data analysis.</w:t>
      </w:r>
    </w:p>
    <w:p w14:paraId="69AD64AC" w14:textId="77777777" w:rsidR="00557B17" w:rsidRPr="00557B17" w:rsidRDefault="00557B17" w:rsidP="00557B17">
      <w:pPr>
        <w:numPr>
          <w:ilvl w:val="0"/>
          <w:numId w:val="7"/>
        </w:numPr>
      </w:pPr>
      <w:r w:rsidRPr="00557B17">
        <w:t>Willingness to travel for work-related activities.</w:t>
      </w:r>
    </w:p>
    <w:p w14:paraId="3BFBFD64" w14:textId="77777777" w:rsidR="00557B17" w:rsidRPr="00557B17" w:rsidRDefault="00557B17" w:rsidP="00557B17">
      <w:pPr>
        <w:rPr>
          <w:b/>
          <w:bCs/>
        </w:rPr>
      </w:pPr>
      <w:r w:rsidRPr="00557B17">
        <w:rPr>
          <w:b/>
          <w:bCs/>
        </w:rPr>
        <w:t>Desirable Criteria</w:t>
      </w:r>
    </w:p>
    <w:p w14:paraId="4D34B62D" w14:textId="77777777" w:rsidR="00557B17" w:rsidRDefault="00557B17" w:rsidP="00557B17">
      <w:pPr>
        <w:numPr>
          <w:ilvl w:val="0"/>
          <w:numId w:val="8"/>
        </w:numPr>
      </w:pPr>
      <w:r w:rsidRPr="00557B17">
        <w:t>Knowledge of or experience within the land-based sector.</w:t>
      </w:r>
    </w:p>
    <w:p w14:paraId="38038E10" w14:textId="6ECDC762" w:rsidR="0095170F" w:rsidRPr="00557B17" w:rsidRDefault="0095170F" w:rsidP="00557B17">
      <w:pPr>
        <w:numPr>
          <w:ilvl w:val="0"/>
          <w:numId w:val="8"/>
        </w:numPr>
      </w:pPr>
      <w:r>
        <w:t>Knowledge of or experience within the Service leaver, Reservist and Veteran community.</w:t>
      </w:r>
    </w:p>
    <w:p w14:paraId="7A3DB5CF" w14:textId="77777777" w:rsidR="00557B17" w:rsidRPr="00557B17" w:rsidRDefault="00557B17" w:rsidP="00557B17">
      <w:pPr>
        <w:numPr>
          <w:ilvl w:val="0"/>
          <w:numId w:val="8"/>
        </w:numPr>
      </w:pPr>
      <w:r w:rsidRPr="00557B17">
        <w:t>Familiarity with the key funders relevant to HighGround’s mission.</w:t>
      </w:r>
    </w:p>
    <w:p w14:paraId="2C74C1C2" w14:textId="77777777" w:rsidR="00557B17" w:rsidRPr="00557B17" w:rsidRDefault="00557B17" w:rsidP="00557B17">
      <w:pPr>
        <w:numPr>
          <w:ilvl w:val="0"/>
          <w:numId w:val="8"/>
        </w:numPr>
      </w:pPr>
      <w:r w:rsidRPr="00557B17">
        <w:t>Experience in legacy fundraising and high-net-worth donor engagement.</w:t>
      </w:r>
    </w:p>
    <w:p w14:paraId="1639F730" w14:textId="77777777" w:rsidR="00557B17" w:rsidRPr="00557B17" w:rsidRDefault="00000000" w:rsidP="00557B17">
      <w:r>
        <w:pict w14:anchorId="4A3B5DB6">
          <v:rect id="_x0000_i1029" style="width:0;height:1.5pt" o:hralign="center" o:hrstd="t" o:hr="t" fillcolor="#a0a0a0" stroked="f"/>
        </w:pict>
      </w:r>
    </w:p>
    <w:p w14:paraId="48CC9965" w14:textId="77777777" w:rsidR="00557B17" w:rsidRPr="00557B17" w:rsidRDefault="00557B17" w:rsidP="00557B17">
      <w:pPr>
        <w:rPr>
          <w:b/>
          <w:bCs/>
        </w:rPr>
      </w:pPr>
      <w:r w:rsidRPr="00557B17">
        <w:rPr>
          <w:b/>
          <w:bCs/>
        </w:rPr>
        <w:t>Benefits</w:t>
      </w:r>
    </w:p>
    <w:p w14:paraId="6C2590EE" w14:textId="73B66DC2" w:rsidR="00557B17" w:rsidRPr="00557B17" w:rsidRDefault="00557B17" w:rsidP="00557B17">
      <w:pPr>
        <w:numPr>
          <w:ilvl w:val="0"/>
          <w:numId w:val="9"/>
        </w:numPr>
      </w:pPr>
      <w:r w:rsidRPr="00557B17">
        <w:lastRenderedPageBreak/>
        <w:t>Competitive salary (£3</w:t>
      </w:r>
      <w:r w:rsidR="0095170F">
        <w:t>5</w:t>
      </w:r>
      <w:r w:rsidRPr="00557B17">
        <w:t>,000 - £42,000 per annum).</w:t>
      </w:r>
    </w:p>
    <w:p w14:paraId="7835E11C" w14:textId="77777777" w:rsidR="00557B17" w:rsidRPr="00557B17" w:rsidRDefault="00557B17" w:rsidP="00557B17">
      <w:pPr>
        <w:numPr>
          <w:ilvl w:val="0"/>
          <w:numId w:val="9"/>
        </w:numPr>
      </w:pPr>
      <w:r w:rsidRPr="00557B17">
        <w:t>Flexible remote working arrangement.</w:t>
      </w:r>
    </w:p>
    <w:p w14:paraId="4609E9AE" w14:textId="77777777" w:rsidR="00557B17" w:rsidRPr="00557B17" w:rsidRDefault="00557B17" w:rsidP="00557B17">
      <w:pPr>
        <w:numPr>
          <w:ilvl w:val="0"/>
          <w:numId w:val="9"/>
        </w:numPr>
      </w:pPr>
      <w:r w:rsidRPr="00557B17">
        <w:t>Reimbursement for work-related travel, accommodation, and subsistence.</w:t>
      </w:r>
    </w:p>
    <w:p w14:paraId="05569174" w14:textId="77777777" w:rsidR="00557B17" w:rsidRPr="00557B17" w:rsidRDefault="00557B17" w:rsidP="00557B17">
      <w:pPr>
        <w:numPr>
          <w:ilvl w:val="0"/>
          <w:numId w:val="9"/>
        </w:numPr>
      </w:pPr>
      <w:r w:rsidRPr="00557B17">
        <w:t>Pension contributions of 3% into a Nest pension scheme.</w:t>
      </w:r>
    </w:p>
    <w:p w14:paraId="6516CF6D" w14:textId="51840047" w:rsidR="00557B17" w:rsidRPr="00557B17" w:rsidRDefault="00557B17" w:rsidP="00557B17">
      <w:pPr>
        <w:numPr>
          <w:ilvl w:val="0"/>
          <w:numId w:val="9"/>
        </w:numPr>
      </w:pPr>
      <w:r w:rsidRPr="00557B17">
        <w:t>leave entitlement: 25 days annual leave plus bank holidays, increasing with service.</w:t>
      </w:r>
    </w:p>
    <w:p w14:paraId="372082F5" w14:textId="77777777" w:rsidR="00557B17" w:rsidRPr="00557B17" w:rsidRDefault="00000000" w:rsidP="00557B17">
      <w:r>
        <w:pict w14:anchorId="6286E5F5">
          <v:rect id="_x0000_i1030" style="width:0;height:1.5pt" o:hralign="center" o:hrstd="t" o:hr="t" fillcolor="#a0a0a0" stroked="f"/>
        </w:pict>
      </w:r>
    </w:p>
    <w:p w14:paraId="754CBC3B" w14:textId="77777777" w:rsidR="00557B17" w:rsidRPr="00557B17" w:rsidRDefault="00557B17" w:rsidP="00557B17">
      <w:r w:rsidRPr="00557B17">
        <w:rPr>
          <w:b/>
          <w:bCs/>
        </w:rPr>
        <w:t>HighGround is committed to equality, diversity, and inclusion and welcomes applications from all sections of the community.</w:t>
      </w:r>
    </w:p>
    <w:p w14:paraId="75999874" w14:textId="77777777" w:rsidR="00557B17" w:rsidRDefault="00557B17"/>
    <w:sectPr w:rsidR="00557B1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E537E" w14:textId="77777777" w:rsidR="006330A0" w:rsidRDefault="006330A0" w:rsidP="00557B17">
      <w:pPr>
        <w:spacing w:after="0" w:line="240" w:lineRule="auto"/>
      </w:pPr>
      <w:r>
        <w:separator/>
      </w:r>
    </w:p>
  </w:endnote>
  <w:endnote w:type="continuationSeparator" w:id="0">
    <w:p w14:paraId="0CFA6D6D" w14:textId="77777777" w:rsidR="006330A0" w:rsidRDefault="006330A0" w:rsidP="00557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7E7B3" w14:textId="77777777" w:rsidR="006330A0" w:rsidRDefault="006330A0" w:rsidP="00557B17">
      <w:pPr>
        <w:spacing w:after="0" w:line="240" w:lineRule="auto"/>
      </w:pPr>
      <w:r>
        <w:separator/>
      </w:r>
    </w:p>
  </w:footnote>
  <w:footnote w:type="continuationSeparator" w:id="0">
    <w:p w14:paraId="4B4E4F95" w14:textId="77777777" w:rsidR="006330A0" w:rsidRDefault="006330A0" w:rsidP="00557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9EEDF" w14:textId="1E2E2F45" w:rsidR="00557B17" w:rsidRDefault="00557B17">
    <w:pPr>
      <w:pStyle w:val="Header"/>
    </w:pPr>
    <w:r>
      <w:t xml:space="preserve"> Fundraiser HighGround Charity – CEO JC Jan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9AD"/>
    <w:multiLevelType w:val="multilevel"/>
    <w:tmpl w:val="D316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240C6"/>
    <w:multiLevelType w:val="multilevel"/>
    <w:tmpl w:val="774C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97B8E"/>
    <w:multiLevelType w:val="multilevel"/>
    <w:tmpl w:val="B1B8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674D8"/>
    <w:multiLevelType w:val="multilevel"/>
    <w:tmpl w:val="B222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31E1C"/>
    <w:multiLevelType w:val="multilevel"/>
    <w:tmpl w:val="B1F0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F3B00"/>
    <w:multiLevelType w:val="multilevel"/>
    <w:tmpl w:val="731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2E6EC3"/>
    <w:multiLevelType w:val="multilevel"/>
    <w:tmpl w:val="FAC03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A07CD7"/>
    <w:multiLevelType w:val="multilevel"/>
    <w:tmpl w:val="103C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A362AF"/>
    <w:multiLevelType w:val="multilevel"/>
    <w:tmpl w:val="2EEE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501051">
    <w:abstractNumId w:val="8"/>
  </w:num>
  <w:num w:numId="2" w16cid:durableId="1481382493">
    <w:abstractNumId w:val="5"/>
  </w:num>
  <w:num w:numId="3" w16cid:durableId="1238435934">
    <w:abstractNumId w:val="3"/>
  </w:num>
  <w:num w:numId="4" w16cid:durableId="663162276">
    <w:abstractNumId w:val="4"/>
  </w:num>
  <w:num w:numId="5" w16cid:durableId="1731226738">
    <w:abstractNumId w:val="1"/>
  </w:num>
  <w:num w:numId="6" w16cid:durableId="929653598">
    <w:abstractNumId w:val="6"/>
  </w:num>
  <w:num w:numId="7" w16cid:durableId="1844978321">
    <w:abstractNumId w:val="0"/>
  </w:num>
  <w:num w:numId="8" w16cid:durableId="1848903559">
    <w:abstractNumId w:val="7"/>
  </w:num>
  <w:num w:numId="9" w16cid:durableId="1810518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17"/>
    <w:rsid w:val="000012CB"/>
    <w:rsid w:val="00035A27"/>
    <w:rsid w:val="000F6E66"/>
    <w:rsid w:val="001F62DA"/>
    <w:rsid w:val="002E2E72"/>
    <w:rsid w:val="00343498"/>
    <w:rsid w:val="003D2694"/>
    <w:rsid w:val="00455951"/>
    <w:rsid w:val="00557B17"/>
    <w:rsid w:val="00574E34"/>
    <w:rsid w:val="006330A0"/>
    <w:rsid w:val="007B1CCD"/>
    <w:rsid w:val="0095170F"/>
    <w:rsid w:val="00980439"/>
    <w:rsid w:val="009C2AB4"/>
    <w:rsid w:val="00AB2DDC"/>
    <w:rsid w:val="00B16AA1"/>
    <w:rsid w:val="00B71094"/>
    <w:rsid w:val="00C154A4"/>
    <w:rsid w:val="00D25549"/>
    <w:rsid w:val="00D30F36"/>
    <w:rsid w:val="00D52DA0"/>
    <w:rsid w:val="00DF4F08"/>
    <w:rsid w:val="00E569A2"/>
    <w:rsid w:val="00E57F0D"/>
    <w:rsid w:val="00E73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F936"/>
  <w15:chartTrackingRefBased/>
  <w15:docId w15:val="{171F6CD9-3E69-4377-95D1-B0897B27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B17"/>
    <w:rPr>
      <w:rFonts w:eastAsiaTheme="majorEastAsia" w:cstheme="majorBidi"/>
      <w:color w:val="272727" w:themeColor="text1" w:themeTint="D8"/>
    </w:rPr>
  </w:style>
  <w:style w:type="paragraph" w:styleId="Title">
    <w:name w:val="Title"/>
    <w:basedOn w:val="Normal"/>
    <w:next w:val="Normal"/>
    <w:link w:val="TitleChar"/>
    <w:uiPriority w:val="10"/>
    <w:qFormat/>
    <w:rsid w:val="00557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B17"/>
    <w:pPr>
      <w:spacing w:before="160"/>
      <w:jc w:val="center"/>
    </w:pPr>
    <w:rPr>
      <w:i/>
      <w:iCs/>
      <w:color w:val="404040" w:themeColor="text1" w:themeTint="BF"/>
    </w:rPr>
  </w:style>
  <w:style w:type="character" w:customStyle="1" w:styleId="QuoteChar">
    <w:name w:val="Quote Char"/>
    <w:basedOn w:val="DefaultParagraphFont"/>
    <w:link w:val="Quote"/>
    <w:uiPriority w:val="29"/>
    <w:rsid w:val="00557B17"/>
    <w:rPr>
      <w:i/>
      <w:iCs/>
      <w:color w:val="404040" w:themeColor="text1" w:themeTint="BF"/>
    </w:rPr>
  </w:style>
  <w:style w:type="paragraph" w:styleId="ListParagraph">
    <w:name w:val="List Paragraph"/>
    <w:basedOn w:val="Normal"/>
    <w:uiPriority w:val="34"/>
    <w:qFormat/>
    <w:rsid w:val="00557B17"/>
    <w:pPr>
      <w:ind w:left="720"/>
      <w:contextualSpacing/>
    </w:pPr>
  </w:style>
  <w:style w:type="character" w:styleId="IntenseEmphasis">
    <w:name w:val="Intense Emphasis"/>
    <w:basedOn w:val="DefaultParagraphFont"/>
    <w:uiPriority w:val="21"/>
    <w:qFormat/>
    <w:rsid w:val="00557B17"/>
    <w:rPr>
      <w:i/>
      <w:iCs/>
      <w:color w:val="0F4761" w:themeColor="accent1" w:themeShade="BF"/>
    </w:rPr>
  </w:style>
  <w:style w:type="paragraph" w:styleId="IntenseQuote">
    <w:name w:val="Intense Quote"/>
    <w:basedOn w:val="Normal"/>
    <w:next w:val="Normal"/>
    <w:link w:val="IntenseQuoteChar"/>
    <w:uiPriority w:val="30"/>
    <w:qFormat/>
    <w:rsid w:val="00557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B17"/>
    <w:rPr>
      <w:i/>
      <w:iCs/>
      <w:color w:val="0F4761" w:themeColor="accent1" w:themeShade="BF"/>
    </w:rPr>
  </w:style>
  <w:style w:type="character" w:styleId="IntenseReference">
    <w:name w:val="Intense Reference"/>
    <w:basedOn w:val="DefaultParagraphFont"/>
    <w:uiPriority w:val="32"/>
    <w:qFormat/>
    <w:rsid w:val="00557B17"/>
    <w:rPr>
      <w:b/>
      <w:bCs/>
      <w:smallCaps/>
      <w:color w:val="0F4761" w:themeColor="accent1" w:themeShade="BF"/>
      <w:spacing w:val="5"/>
    </w:rPr>
  </w:style>
  <w:style w:type="paragraph" w:styleId="Header">
    <w:name w:val="header"/>
    <w:basedOn w:val="Normal"/>
    <w:link w:val="HeaderChar"/>
    <w:uiPriority w:val="99"/>
    <w:unhideWhenUsed/>
    <w:rsid w:val="00557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B17"/>
  </w:style>
  <w:style w:type="paragraph" w:styleId="Footer">
    <w:name w:val="footer"/>
    <w:basedOn w:val="Normal"/>
    <w:link w:val="FooterChar"/>
    <w:uiPriority w:val="99"/>
    <w:unhideWhenUsed/>
    <w:rsid w:val="00557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17"/>
  </w:style>
  <w:style w:type="paragraph" w:styleId="Revision">
    <w:name w:val="Revision"/>
    <w:hidden/>
    <w:uiPriority w:val="99"/>
    <w:semiHidden/>
    <w:rsid w:val="001F62DA"/>
    <w:pPr>
      <w:spacing w:after="0" w:line="240" w:lineRule="auto"/>
    </w:pPr>
  </w:style>
  <w:style w:type="character" w:styleId="CommentReference">
    <w:name w:val="annotation reference"/>
    <w:basedOn w:val="DefaultParagraphFont"/>
    <w:uiPriority w:val="99"/>
    <w:semiHidden/>
    <w:unhideWhenUsed/>
    <w:rsid w:val="001F62DA"/>
    <w:rPr>
      <w:sz w:val="16"/>
      <w:szCs w:val="16"/>
    </w:rPr>
  </w:style>
  <w:style w:type="paragraph" w:styleId="CommentText">
    <w:name w:val="annotation text"/>
    <w:basedOn w:val="Normal"/>
    <w:link w:val="CommentTextChar"/>
    <w:uiPriority w:val="99"/>
    <w:unhideWhenUsed/>
    <w:rsid w:val="001F62DA"/>
    <w:pPr>
      <w:spacing w:line="240" w:lineRule="auto"/>
    </w:pPr>
    <w:rPr>
      <w:sz w:val="20"/>
      <w:szCs w:val="20"/>
    </w:rPr>
  </w:style>
  <w:style w:type="character" w:customStyle="1" w:styleId="CommentTextChar">
    <w:name w:val="Comment Text Char"/>
    <w:basedOn w:val="DefaultParagraphFont"/>
    <w:link w:val="CommentText"/>
    <w:uiPriority w:val="99"/>
    <w:rsid w:val="001F62DA"/>
    <w:rPr>
      <w:sz w:val="20"/>
      <w:szCs w:val="20"/>
    </w:rPr>
  </w:style>
  <w:style w:type="paragraph" w:styleId="CommentSubject">
    <w:name w:val="annotation subject"/>
    <w:basedOn w:val="CommentText"/>
    <w:next w:val="CommentText"/>
    <w:link w:val="CommentSubjectChar"/>
    <w:uiPriority w:val="99"/>
    <w:semiHidden/>
    <w:unhideWhenUsed/>
    <w:rsid w:val="001F62DA"/>
    <w:rPr>
      <w:b/>
      <w:bCs/>
    </w:rPr>
  </w:style>
  <w:style w:type="character" w:customStyle="1" w:styleId="CommentSubjectChar">
    <w:name w:val="Comment Subject Char"/>
    <w:basedOn w:val="CommentTextChar"/>
    <w:link w:val="CommentSubject"/>
    <w:uiPriority w:val="99"/>
    <w:semiHidden/>
    <w:rsid w:val="001F62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554249">
      <w:bodyDiv w:val="1"/>
      <w:marLeft w:val="0"/>
      <w:marRight w:val="0"/>
      <w:marTop w:val="0"/>
      <w:marBottom w:val="0"/>
      <w:divBdr>
        <w:top w:val="none" w:sz="0" w:space="0" w:color="auto"/>
        <w:left w:val="none" w:sz="0" w:space="0" w:color="auto"/>
        <w:bottom w:val="none" w:sz="0" w:space="0" w:color="auto"/>
        <w:right w:val="none" w:sz="0" w:space="0" w:color="auto"/>
      </w:divBdr>
      <w:divsChild>
        <w:div w:id="794637250">
          <w:marLeft w:val="0"/>
          <w:marRight w:val="0"/>
          <w:marTop w:val="0"/>
          <w:marBottom w:val="0"/>
          <w:divBdr>
            <w:top w:val="none" w:sz="0" w:space="0" w:color="auto"/>
            <w:left w:val="none" w:sz="0" w:space="0" w:color="auto"/>
            <w:bottom w:val="none" w:sz="0" w:space="0" w:color="auto"/>
            <w:right w:val="none" w:sz="0" w:space="0" w:color="auto"/>
          </w:divBdr>
        </w:div>
        <w:div w:id="638145715">
          <w:marLeft w:val="0"/>
          <w:marRight w:val="0"/>
          <w:marTop w:val="0"/>
          <w:marBottom w:val="0"/>
          <w:divBdr>
            <w:top w:val="none" w:sz="0" w:space="0" w:color="auto"/>
            <w:left w:val="none" w:sz="0" w:space="0" w:color="auto"/>
            <w:bottom w:val="none" w:sz="0" w:space="0" w:color="auto"/>
            <w:right w:val="none" w:sz="0" w:space="0" w:color="auto"/>
          </w:divBdr>
        </w:div>
        <w:div w:id="377828241">
          <w:marLeft w:val="0"/>
          <w:marRight w:val="0"/>
          <w:marTop w:val="0"/>
          <w:marBottom w:val="0"/>
          <w:divBdr>
            <w:top w:val="none" w:sz="0" w:space="0" w:color="auto"/>
            <w:left w:val="none" w:sz="0" w:space="0" w:color="auto"/>
            <w:bottom w:val="none" w:sz="0" w:space="0" w:color="auto"/>
            <w:right w:val="none" w:sz="0" w:space="0" w:color="auto"/>
          </w:divBdr>
        </w:div>
        <w:div w:id="1812671351">
          <w:marLeft w:val="0"/>
          <w:marRight w:val="0"/>
          <w:marTop w:val="0"/>
          <w:marBottom w:val="0"/>
          <w:divBdr>
            <w:top w:val="none" w:sz="0" w:space="0" w:color="auto"/>
            <w:left w:val="none" w:sz="0" w:space="0" w:color="auto"/>
            <w:bottom w:val="none" w:sz="0" w:space="0" w:color="auto"/>
            <w:right w:val="none" w:sz="0" w:space="0" w:color="auto"/>
          </w:divBdr>
        </w:div>
        <w:div w:id="1787503292">
          <w:marLeft w:val="0"/>
          <w:marRight w:val="0"/>
          <w:marTop w:val="0"/>
          <w:marBottom w:val="0"/>
          <w:divBdr>
            <w:top w:val="none" w:sz="0" w:space="0" w:color="auto"/>
            <w:left w:val="none" w:sz="0" w:space="0" w:color="auto"/>
            <w:bottom w:val="none" w:sz="0" w:space="0" w:color="auto"/>
            <w:right w:val="none" w:sz="0" w:space="0" w:color="auto"/>
          </w:divBdr>
        </w:div>
        <w:div w:id="2061979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Crisp</dc:creator>
  <cp:keywords/>
  <dc:description/>
  <cp:lastModifiedBy>Heather Crawford</cp:lastModifiedBy>
  <cp:revision>2</cp:revision>
  <dcterms:created xsi:type="dcterms:W3CDTF">2025-02-07T09:26:00Z</dcterms:created>
  <dcterms:modified xsi:type="dcterms:W3CDTF">2025-02-07T09:26:00Z</dcterms:modified>
</cp:coreProperties>
</file>